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59B21" w14:textId="77777777" w:rsidR="00975E2E" w:rsidRDefault="00524696">
      <w:pPr>
        <w:pStyle w:val="LO-normal"/>
        <w:jc w:val="both"/>
        <w:rPr>
          <w:color w:val="FF0000"/>
        </w:rPr>
      </w:pPr>
      <w:r>
        <w:rPr>
          <w:noProof/>
        </w:rPr>
        <w:drawing>
          <wp:inline distT="0" distB="0" distL="0" distR="0" wp14:anchorId="1462646F" wp14:editId="1DB3BD6F">
            <wp:extent cx="1830070" cy="542925"/>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pic:cNvPicPr>
                      <a:picLocks noChangeAspect="1" noChangeArrowheads="1"/>
                    </pic:cNvPicPr>
                  </pic:nvPicPr>
                  <pic:blipFill>
                    <a:blip r:embed="rId10"/>
                    <a:stretch>
                      <a:fillRect/>
                    </a:stretch>
                  </pic:blipFill>
                  <pic:spPr bwMode="auto">
                    <a:xfrm>
                      <a:off x="0" y="0"/>
                      <a:ext cx="1830070" cy="542925"/>
                    </a:xfrm>
                    <a:prstGeom prst="rect">
                      <a:avLst/>
                    </a:prstGeom>
                  </pic:spPr>
                </pic:pic>
              </a:graphicData>
            </a:graphic>
          </wp:inline>
        </w:drawing>
      </w:r>
    </w:p>
    <w:p w14:paraId="3C5D2B3D" w14:textId="77777777" w:rsidR="00975E2E" w:rsidRDefault="00975E2E">
      <w:pPr>
        <w:pStyle w:val="LO-normal"/>
        <w:jc w:val="center"/>
        <w:rPr>
          <w:rFonts w:ascii="Arial" w:eastAsia="Arial" w:hAnsi="Arial" w:cs="Arial"/>
          <w:sz w:val="52"/>
        </w:rPr>
      </w:pPr>
    </w:p>
    <w:p w14:paraId="7625B761" w14:textId="203A3996" w:rsidR="00975E2E" w:rsidRDefault="00975E2E">
      <w:pPr>
        <w:pStyle w:val="LO-normal"/>
        <w:jc w:val="center"/>
        <w:rPr>
          <w:rFonts w:ascii="Arial" w:eastAsia="Arial" w:hAnsi="Arial" w:cs="Arial"/>
          <w:sz w:val="52"/>
        </w:rPr>
      </w:pPr>
    </w:p>
    <w:p w14:paraId="74BFFEB0" w14:textId="77777777" w:rsidR="00E45812" w:rsidRDefault="00E45812">
      <w:pPr>
        <w:pStyle w:val="LO-normal"/>
        <w:jc w:val="center"/>
        <w:rPr>
          <w:rFonts w:ascii="Arial" w:eastAsia="Arial" w:hAnsi="Arial" w:cs="Arial"/>
          <w:sz w:val="52"/>
        </w:rPr>
      </w:pPr>
    </w:p>
    <w:p w14:paraId="1FF8FE26" w14:textId="77777777" w:rsidR="00975E2E" w:rsidRDefault="00975E2E">
      <w:pPr>
        <w:pStyle w:val="LO-normal"/>
        <w:jc w:val="center"/>
        <w:rPr>
          <w:rFonts w:ascii="Arial" w:eastAsia="Arial" w:hAnsi="Arial" w:cs="Arial"/>
          <w:sz w:val="52"/>
        </w:rPr>
      </w:pPr>
    </w:p>
    <w:p w14:paraId="2E3ABFAA" w14:textId="77777777" w:rsidR="00975E2E" w:rsidRDefault="00524696">
      <w:pPr>
        <w:pStyle w:val="LO-normal"/>
        <w:jc w:val="center"/>
        <w:rPr>
          <w:rFonts w:ascii="Arial" w:eastAsia="Arial" w:hAnsi="Arial" w:cs="Arial"/>
          <w:sz w:val="52"/>
        </w:rPr>
      </w:pPr>
      <w:r>
        <w:rPr>
          <w:rFonts w:ascii="Arial" w:eastAsia="Arial" w:hAnsi="Arial" w:cs="Arial"/>
          <w:sz w:val="52"/>
        </w:rPr>
        <w:t>DIRECTIVA</w:t>
      </w:r>
    </w:p>
    <w:p w14:paraId="1ED797A7" w14:textId="77777777" w:rsidR="00975E2E" w:rsidRDefault="00975E2E">
      <w:pPr>
        <w:pStyle w:val="LO-normal"/>
        <w:jc w:val="center"/>
        <w:rPr>
          <w:rFonts w:ascii="Arial" w:eastAsia="Arial" w:hAnsi="Arial" w:cs="Arial"/>
          <w:sz w:val="52"/>
        </w:rPr>
      </w:pPr>
    </w:p>
    <w:p w14:paraId="4FE1B2AA" w14:textId="77777777" w:rsidR="00975E2E" w:rsidRDefault="00524696">
      <w:pPr>
        <w:pStyle w:val="LO-normal"/>
        <w:jc w:val="center"/>
        <w:rPr>
          <w:rFonts w:ascii="Arial" w:eastAsia="Arial" w:hAnsi="Arial" w:cs="Arial"/>
          <w:sz w:val="36"/>
        </w:rPr>
      </w:pPr>
      <w:r>
        <w:rPr>
          <w:rFonts w:ascii="Arial" w:eastAsia="Arial" w:hAnsi="Arial" w:cs="Arial"/>
          <w:sz w:val="36"/>
        </w:rPr>
        <w:t>PROCESO DE ADQUISICIÓN SIMPLIFICADO PARA LA RESPUESTA A LA COVID-19</w:t>
      </w:r>
    </w:p>
    <w:p w14:paraId="20900B29" w14:textId="77777777" w:rsidR="00975E2E" w:rsidRDefault="00975E2E">
      <w:pPr>
        <w:pStyle w:val="LO-normal"/>
        <w:jc w:val="center"/>
        <w:rPr>
          <w:rFonts w:ascii="Arial" w:eastAsia="Arial" w:hAnsi="Arial" w:cs="Arial"/>
          <w:sz w:val="44"/>
        </w:rPr>
      </w:pPr>
    </w:p>
    <w:tbl>
      <w:tblPr>
        <w:tblW w:w="9638" w:type="dxa"/>
        <w:tblInd w:w="-431" w:type="dxa"/>
        <w:tblLook w:val="0000" w:firstRow="0" w:lastRow="0" w:firstColumn="0" w:lastColumn="0" w:noHBand="0" w:noVBand="0"/>
      </w:tblPr>
      <w:tblGrid>
        <w:gridCol w:w="1444"/>
        <w:gridCol w:w="2346"/>
        <w:gridCol w:w="2831"/>
        <w:gridCol w:w="1613"/>
        <w:gridCol w:w="1404"/>
      </w:tblGrid>
      <w:tr w:rsidR="00975E2E" w14:paraId="5F0C7D36" w14:textId="77777777">
        <w:trPr>
          <w:trHeight w:val="510"/>
        </w:trPr>
        <w:tc>
          <w:tcPr>
            <w:tcW w:w="9638" w:type="dxa"/>
            <w:gridSpan w:val="5"/>
            <w:tcBorders>
              <w:top w:val="single" w:sz="4" w:space="0" w:color="FFFFFF"/>
              <w:left w:val="single" w:sz="4" w:space="0" w:color="000000"/>
              <w:bottom w:val="single" w:sz="4" w:space="0" w:color="FFFFFF"/>
              <w:right w:val="single" w:sz="4" w:space="0" w:color="000000"/>
            </w:tcBorders>
            <w:shd w:val="clear" w:color="auto" w:fill="44546A"/>
            <w:vAlign w:val="center"/>
          </w:tcPr>
          <w:p w14:paraId="5108F0D8" w14:textId="77777777" w:rsidR="00975E2E" w:rsidRDefault="00524696">
            <w:pPr>
              <w:pStyle w:val="LO-normal"/>
              <w:rPr>
                <w:rFonts w:ascii="Arial" w:eastAsia="Arial" w:hAnsi="Arial" w:cs="Arial"/>
                <w:color w:val="FFFFFF"/>
                <w:sz w:val="24"/>
              </w:rPr>
            </w:pPr>
            <w:r>
              <w:rPr>
                <w:rFonts w:ascii="Arial" w:eastAsia="Arial" w:hAnsi="Arial" w:cs="Arial"/>
                <w:color w:val="FFFFFF"/>
                <w:sz w:val="24"/>
              </w:rPr>
              <w:t>Autorización del documento</w:t>
            </w:r>
          </w:p>
        </w:tc>
      </w:tr>
      <w:tr w:rsidR="00975E2E" w14:paraId="5171D30E" w14:textId="77777777">
        <w:trPr>
          <w:trHeight w:val="587"/>
        </w:trPr>
        <w:tc>
          <w:tcPr>
            <w:tcW w:w="1305" w:type="dxa"/>
            <w:tcBorders>
              <w:top w:val="single" w:sz="4" w:space="0" w:color="FFFFFF"/>
              <w:left w:val="single" w:sz="4" w:space="0" w:color="000000"/>
              <w:bottom w:val="single" w:sz="4" w:space="0" w:color="FFFFFF"/>
              <w:right w:val="single" w:sz="4" w:space="0" w:color="FFFFFF"/>
            </w:tcBorders>
            <w:shd w:val="clear" w:color="auto" w:fill="44546A"/>
            <w:vAlign w:val="center"/>
          </w:tcPr>
          <w:p w14:paraId="7D2C6C49" w14:textId="77777777" w:rsidR="00975E2E" w:rsidRDefault="00524696">
            <w:pPr>
              <w:pStyle w:val="LO-normal"/>
              <w:jc w:val="center"/>
              <w:rPr>
                <w:rFonts w:ascii="Arial" w:eastAsia="Arial" w:hAnsi="Arial" w:cs="Arial"/>
                <w:color w:val="FFFFFF"/>
                <w:sz w:val="24"/>
              </w:rPr>
            </w:pPr>
            <w:r>
              <w:rPr>
                <w:rFonts w:ascii="Arial" w:eastAsia="Arial" w:hAnsi="Arial" w:cs="Arial"/>
                <w:color w:val="FFFFFF"/>
                <w:sz w:val="24"/>
              </w:rPr>
              <w:t>Parte interesada</w:t>
            </w:r>
          </w:p>
        </w:tc>
        <w:tc>
          <w:tcPr>
            <w:tcW w:w="2505" w:type="dxa"/>
            <w:tcBorders>
              <w:top w:val="single" w:sz="4" w:space="0" w:color="FFFFFF"/>
              <w:left w:val="single" w:sz="4" w:space="0" w:color="FFFFFF"/>
              <w:bottom w:val="single" w:sz="4" w:space="0" w:color="FFFFFF"/>
              <w:right w:val="single" w:sz="4" w:space="0" w:color="FFFFFF"/>
            </w:tcBorders>
            <w:shd w:val="clear" w:color="auto" w:fill="44546A"/>
            <w:vAlign w:val="center"/>
          </w:tcPr>
          <w:p w14:paraId="2C432D66" w14:textId="77777777" w:rsidR="00975E2E" w:rsidRDefault="00524696">
            <w:pPr>
              <w:pStyle w:val="LO-normal"/>
              <w:jc w:val="center"/>
              <w:rPr>
                <w:rFonts w:ascii="Arial" w:eastAsia="Arial" w:hAnsi="Arial" w:cs="Arial"/>
                <w:color w:val="FFFFFF"/>
                <w:sz w:val="24"/>
              </w:rPr>
            </w:pPr>
            <w:r>
              <w:rPr>
                <w:rFonts w:ascii="Arial" w:eastAsia="Arial" w:hAnsi="Arial" w:cs="Arial"/>
                <w:color w:val="FFFFFF"/>
                <w:sz w:val="24"/>
              </w:rPr>
              <w:t>Nombre</w:t>
            </w:r>
          </w:p>
        </w:tc>
        <w:tc>
          <w:tcPr>
            <w:tcW w:w="3246" w:type="dxa"/>
            <w:tcBorders>
              <w:top w:val="single" w:sz="4" w:space="0" w:color="FFFFFF"/>
              <w:left w:val="single" w:sz="4" w:space="0" w:color="FFFFFF"/>
              <w:bottom w:val="single" w:sz="4" w:space="0" w:color="FFFFFF"/>
              <w:right w:val="single" w:sz="4" w:space="0" w:color="FFFFFF"/>
            </w:tcBorders>
            <w:shd w:val="clear" w:color="auto" w:fill="44546A"/>
            <w:vAlign w:val="center"/>
          </w:tcPr>
          <w:p w14:paraId="283165B7" w14:textId="77777777" w:rsidR="00975E2E" w:rsidRDefault="00524696">
            <w:pPr>
              <w:pStyle w:val="LO-normal"/>
              <w:jc w:val="center"/>
              <w:rPr>
                <w:rFonts w:ascii="Arial" w:eastAsia="Arial" w:hAnsi="Arial" w:cs="Arial"/>
                <w:color w:val="FFFFFF"/>
                <w:sz w:val="24"/>
              </w:rPr>
            </w:pPr>
            <w:r>
              <w:rPr>
                <w:rFonts w:ascii="Arial" w:eastAsia="Arial" w:hAnsi="Arial" w:cs="Arial"/>
                <w:color w:val="FFFFFF"/>
                <w:sz w:val="24"/>
              </w:rPr>
              <w:t>Cargo</w:t>
            </w:r>
          </w:p>
        </w:tc>
        <w:tc>
          <w:tcPr>
            <w:tcW w:w="1315" w:type="dxa"/>
            <w:tcBorders>
              <w:top w:val="single" w:sz="4" w:space="0" w:color="FFFFFF"/>
              <w:left w:val="single" w:sz="4" w:space="0" w:color="FFFFFF"/>
              <w:bottom w:val="single" w:sz="4" w:space="0" w:color="FFFFFF"/>
              <w:right w:val="single" w:sz="4" w:space="0" w:color="FFFFFF"/>
            </w:tcBorders>
            <w:shd w:val="clear" w:color="auto" w:fill="44546A"/>
            <w:vAlign w:val="center"/>
          </w:tcPr>
          <w:p w14:paraId="0A17F826" w14:textId="77777777" w:rsidR="00975E2E" w:rsidRDefault="00524696">
            <w:pPr>
              <w:pStyle w:val="LO-normal"/>
              <w:jc w:val="center"/>
              <w:rPr>
                <w:rFonts w:ascii="Arial" w:eastAsia="Arial" w:hAnsi="Arial" w:cs="Arial"/>
                <w:color w:val="FFFFFF"/>
                <w:sz w:val="24"/>
              </w:rPr>
            </w:pPr>
            <w:r>
              <w:rPr>
                <w:rFonts w:ascii="Arial" w:eastAsia="Arial" w:hAnsi="Arial" w:cs="Arial"/>
                <w:color w:val="FFFFFF"/>
                <w:sz w:val="24"/>
              </w:rPr>
              <w:t>Firma</w:t>
            </w:r>
          </w:p>
        </w:tc>
        <w:tc>
          <w:tcPr>
            <w:tcW w:w="1267" w:type="dxa"/>
            <w:tcBorders>
              <w:top w:val="single" w:sz="4" w:space="0" w:color="FFFFFF"/>
              <w:left w:val="single" w:sz="4" w:space="0" w:color="FFFFFF"/>
              <w:bottom w:val="single" w:sz="4" w:space="0" w:color="FFFFFF"/>
              <w:right w:val="single" w:sz="4" w:space="0" w:color="000000"/>
            </w:tcBorders>
            <w:shd w:val="clear" w:color="auto" w:fill="44546A"/>
            <w:vAlign w:val="center"/>
          </w:tcPr>
          <w:p w14:paraId="5497750A" w14:textId="77777777" w:rsidR="00975E2E" w:rsidRDefault="00524696">
            <w:pPr>
              <w:pStyle w:val="LO-normal"/>
              <w:jc w:val="center"/>
              <w:rPr>
                <w:rFonts w:ascii="Arial" w:eastAsia="Arial" w:hAnsi="Arial" w:cs="Arial"/>
                <w:color w:val="FFFFFF"/>
                <w:sz w:val="24"/>
              </w:rPr>
            </w:pPr>
            <w:r>
              <w:rPr>
                <w:rFonts w:ascii="Arial" w:eastAsia="Arial" w:hAnsi="Arial" w:cs="Arial"/>
                <w:color w:val="FFFFFF"/>
                <w:sz w:val="24"/>
              </w:rPr>
              <w:t>Fecha de aprobación</w:t>
            </w:r>
          </w:p>
        </w:tc>
      </w:tr>
      <w:tr w:rsidR="00975E2E" w14:paraId="661F649C" w14:textId="77777777">
        <w:trPr>
          <w:trHeight w:val="568"/>
        </w:trPr>
        <w:tc>
          <w:tcPr>
            <w:tcW w:w="1305" w:type="dxa"/>
            <w:tcBorders>
              <w:top w:val="single" w:sz="4" w:space="0" w:color="FFFFFF"/>
              <w:left w:val="single" w:sz="4" w:space="0" w:color="000000"/>
              <w:bottom w:val="single" w:sz="4" w:space="0" w:color="000000"/>
              <w:right w:val="single" w:sz="4" w:space="0" w:color="000000"/>
            </w:tcBorders>
            <w:shd w:val="clear" w:color="auto" w:fill="FFFFFF"/>
            <w:vAlign w:val="center"/>
          </w:tcPr>
          <w:p w14:paraId="16BA926F" w14:textId="77777777" w:rsidR="00975E2E" w:rsidRDefault="00524696">
            <w:pPr>
              <w:pStyle w:val="LO-normal"/>
              <w:rPr>
                <w:rFonts w:ascii="Arial" w:eastAsia="Arial" w:hAnsi="Arial" w:cs="Arial"/>
                <w:sz w:val="24"/>
              </w:rPr>
            </w:pPr>
            <w:r>
              <w:rPr>
                <w:rFonts w:ascii="Arial" w:eastAsia="Arial" w:hAnsi="Arial" w:cs="Arial"/>
                <w:sz w:val="24"/>
              </w:rPr>
              <w:t>Autor del documento</w:t>
            </w:r>
          </w:p>
        </w:tc>
        <w:tc>
          <w:tcPr>
            <w:tcW w:w="2505" w:type="dxa"/>
            <w:tcBorders>
              <w:top w:val="single" w:sz="4" w:space="0" w:color="FFFFFF"/>
              <w:left w:val="single" w:sz="4" w:space="0" w:color="000000"/>
              <w:bottom w:val="single" w:sz="4" w:space="0" w:color="000000"/>
              <w:right w:val="single" w:sz="4" w:space="0" w:color="000000"/>
            </w:tcBorders>
            <w:shd w:val="clear" w:color="auto" w:fill="FFFFFF"/>
            <w:vAlign w:val="center"/>
          </w:tcPr>
          <w:p w14:paraId="0E9077B5" w14:textId="77777777" w:rsidR="00975E2E" w:rsidRDefault="00524696">
            <w:pPr>
              <w:pStyle w:val="LO-normal"/>
              <w:rPr>
                <w:rFonts w:ascii="Arial" w:eastAsia="Arial" w:hAnsi="Arial" w:cs="Arial"/>
                <w:sz w:val="24"/>
              </w:rPr>
            </w:pPr>
            <w:r>
              <w:rPr>
                <w:rFonts w:ascii="Arial" w:eastAsia="Arial" w:hAnsi="Arial" w:cs="Arial"/>
                <w:sz w:val="24"/>
              </w:rPr>
              <w:t>Armen PETROSYAN</w:t>
            </w:r>
          </w:p>
        </w:tc>
        <w:tc>
          <w:tcPr>
            <w:tcW w:w="3246" w:type="dxa"/>
            <w:tcBorders>
              <w:top w:val="single" w:sz="4" w:space="0" w:color="FFFFFF"/>
              <w:left w:val="single" w:sz="4" w:space="0" w:color="000000"/>
              <w:bottom w:val="single" w:sz="4" w:space="0" w:color="000000"/>
              <w:right w:val="single" w:sz="4" w:space="0" w:color="000000"/>
            </w:tcBorders>
            <w:shd w:val="clear" w:color="auto" w:fill="FFFFFF"/>
            <w:vAlign w:val="center"/>
          </w:tcPr>
          <w:p w14:paraId="574D03E3" w14:textId="77777777" w:rsidR="00975E2E" w:rsidRDefault="00524696">
            <w:pPr>
              <w:pStyle w:val="LO-normal"/>
              <w:rPr>
                <w:rFonts w:ascii="Arial" w:eastAsia="Arial" w:hAnsi="Arial" w:cs="Arial"/>
                <w:sz w:val="24"/>
              </w:rPr>
            </w:pPr>
            <w:r>
              <w:rPr>
                <w:rFonts w:ascii="Arial" w:eastAsia="Arial" w:hAnsi="Arial" w:cs="Arial"/>
                <w:sz w:val="24"/>
              </w:rPr>
              <w:t xml:space="preserve">Asesor superior de conformidad global de </w:t>
            </w:r>
            <w:r>
              <w:rPr>
                <w:rFonts w:ascii="Arial" w:eastAsia="Arial" w:hAnsi="Arial" w:cs="Arial"/>
                <w:sz w:val="24"/>
              </w:rPr>
              <w:t>LPSCM</w:t>
            </w:r>
          </w:p>
          <w:p w14:paraId="409B10F4" w14:textId="77777777" w:rsidR="00975E2E" w:rsidRDefault="00524696">
            <w:pPr>
              <w:pStyle w:val="LO-normal"/>
              <w:rPr>
                <w:rFonts w:ascii="Arial" w:eastAsia="Arial" w:hAnsi="Arial" w:cs="Arial"/>
                <w:sz w:val="24"/>
              </w:rPr>
            </w:pPr>
            <w:r>
              <w:rPr>
                <w:rFonts w:ascii="Arial" w:eastAsia="Arial" w:hAnsi="Arial" w:cs="Arial"/>
                <w:sz w:val="24"/>
              </w:rPr>
              <w:t xml:space="preserve">Jefe de operaciones de LPSCM de la OIC </w:t>
            </w:r>
          </w:p>
          <w:p w14:paraId="17E6334A" w14:textId="77777777" w:rsidR="00975E2E" w:rsidRDefault="00524696">
            <w:pPr>
              <w:pStyle w:val="LO-normal"/>
              <w:rPr>
                <w:rFonts w:ascii="Arial" w:eastAsia="Arial" w:hAnsi="Arial" w:cs="Arial"/>
                <w:sz w:val="24"/>
              </w:rPr>
            </w:pPr>
            <w:r>
              <w:rPr>
                <w:rFonts w:ascii="Arial" w:eastAsia="Arial" w:hAnsi="Arial" w:cs="Arial"/>
                <w:sz w:val="24"/>
              </w:rPr>
              <w:t>Jefe del equipo de abastecimiento estratégico / adquisiciones de la OIC</w:t>
            </w:r>
          </w:p>
        </w:tc>
        <w:tc>
          <w:tcPr>
            <w:tcW w:w="1315" w:type="dxa"/>
            <w:tcBorders>
              <w:top w:val="single" w:sz="4" w:space="0" w:color="FFFFFF"/>
              <w:left w:val="single" w:sz="4" w:space="0" w:color="000000"/>
              <w:bottom w:val="single" w:sz="4" w:space="0" w:color="000000"/>
              <w:right w:val="single" w:sz="4" w:space="0" w:color="000000"/>
            </w:tcBorders>
            <w:shd w:val="clear" w:color="auto" w:fill="FFFFFF"/>
            <w:vAlign w:val="center"/>
          </w:tcPr>
          <w:p w14:paraId="754A5EC5" w14:textId="77777777" w:rsidR="00975E2E" w:rsidRDefault="00524696">
            <w:pPr>
              <w:pStyle w:val="LO-normal"/>
              <w:rPr>
                <w:rFonts w:ascii="Arial" w:eastAsia="Arial" w:hAnsi="Arial" w:cs="Arial"/>
                <w:sz w:val="24"/>
              </w:rPr>
            </w:pPr>
            <w:r>
              <w:rPr>
                <w:noProof/>
              </w:rPr>
              <w:drawing>
                <wp:inline distT="0" distB="0" distL="0" distR="0" wp14:anchorId="13770D44" wp14:editId="5944972F">
                  <wp:extent cx="885825" cy="866775"/>
                  <wp:effectExtent l="0" t="0" r="0" b="0"/>
                  <wp:docPr id="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a:picLocks noChangeAspect="1" noChangeArrowheads="1"/>
                          </pic:cNvPicPr>
                        </pic:nvPicPr>
                        <pic:blipFill>
                          <a:blip r:embed="rId11"/>
                          <a:stretch>
                            <a:fillRect/>
                          </a:stretch>
                        </pic:blipFill>
                        <pic:spPr bwMode="auto">
                          <a:xfrm>
                            <a:off x="0" y="0"/>
                            <a:ext cx="885825" cy="866775"/>
                          </a:xfrm>
                          <a:prstGeom prst="rect">
                            <a:avLst/>
                          </a:prstGeom>
                        </pic:spPr>
                      </pic:pic>
                    </a:graphicData>
                  </a:graphic>
                </wp:inline>
              </w:drawing>
            </w:r>
          </w:p>
        </w:tc>
        <w:tc>
          <w:tcPr>
            <w:tcW w:w="1267" w:type="dxa"/>
            <w:tcBorders>
              <w:top w:val="single" w:sz="4" w:space="0" w:color="FFFFFF"/>
              <w:left w:val="single" w:sz="4" w:space="0" w:color="000000"/>
              <w:bottom w:val="single" w:sz="4" w:space="0" w:color="000000"/>
              <w:right w:val="single" w:sz="4" w:space="0" w:color="000000"/>
            </w:tcBorders>
            <w:shd w:val="clear" w:color="auto" w:fill="FFFFFF"/>
            <w:vAlign w:val="center"/>
          </w:tcPr>
          <w:p w14:paraId="412290F2" w14:textId="77777777" w:rsidR="00975E2E" w:rsidRDefault="00524696">
            <w:pPr>
              <w:pStyle w:val="LO-normal"/>
              <w:rPr>
                <w:rFonts w:ascii="Arial" w:eastAsia="Arial" w:hAnsi="Arial" w:cs="Arial"/>
                <w:sz w:val="24"/>
              </w:rPr>
            </w:pPr>
            <w:r>
              <w:t>04.04.2020</w:t>
            </w:r>
          </w:p>
        </w:tc>
      </w:tr>
      <w:tr w:rsidR="00975E2E" w14:paraId="5772FD40" w14:textId="77777777">
        <w:trPr>
          <w:trHeight w:val="567"/>
        </w:trPr>
        <w:tc>
          <w:tcPr>
            <w:tcW w:w="13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63A690" w14:textId="77777777" w:rsidR="00975E2E" w:rsidRDefault="00524696">
            <w:pPr>
              <w:pStyle w:val="LO-normal"/>
              <w:rPr>
                <w:rFonts w:ascii="Arial" w:eastAsia="Arial" w:hAnsi="Arial" w:cs="Arial"/>
                <w:sz w:val="24"/>
              </w:rPr>
            </w:pPr>
            <w:r>
              <w:rPr>
                <w:rFonts w:ascii="Arial" w:eastAsia="Arial" w:hAnsi="Arial" w:cs="Arial"/>
                <w:sz w:val="24"/>
              </w:rPr>
              <w:t>Titular del documento</w:t>
            </w:r>
          </w:p>
        </w:tc>
        <w:tc>
          <w:tcPr>
            <w:tcW w:w="25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F9BFBF" w14:textId="77777777" w:rsidR="00975E2E" w:rsidRDefault="00524696">
            <w:pPr>
              <w:pStyle w:val="LO-normal"/>
              <w:rPr>
                <w:rFonts w:ascii="Arial" w:eastAsia="Arial" w:hAnsi="Arial" w:cs="Arial"/>
                <w:sz w:val="24"/>
              </w:rPr>
            </w:pPr>
            <w:r>
              <w:rPr>
                <w:rFonts w:ascii="Arial" w:eastAsia="Arial" w:hAnsi="Arial" w:cs="Arial"/>
                <w:sz w:val="24"/>
              </w:rPr>
              <w:t>Thierry BALLOY</w:t>
            </w:r>
          </w:p>
        </w:tc>
        <w:tc>
          <w:tcPr>
            <w:tcW w:w="32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3DEFA2" w14:textId="77777777" w:rsidR="00975E2E" w:rsidRDefault="00524696">
            <w:pPr>
              <w:pStyle w:val="LO-normal"/>
              <w:rPr>
                <w:rFonts w:ascii="Arial" w:eastAsia="Arial" w:hAnsi="Arial" w:cs="Arial"/>
                <w:sz w:val="24"/>
              </w:rPr>
            </w:pPr>
            <w:r>
              <w:rPr>
                <w:rFonts w:ascii="Arial" w:eastAsia="Arial" w:hAnsi="Arial" w:cs="Arial"/>
                <w:sz w:val="24"/>
              </w:rPr>
              <w:t>Director del Departamento de LPSCM</w:t>
            </w:r>
          </w:p>
        </w:tc>
        <w:tc>
          <w:tcPr>
            <w:tcW w:w="131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1EED40" w14:textId="77777777" w:rsidR="00975E2E" w:rsidRDefault="00524696">
            <w:pPr>
              <w:pStyle w:val="LO-normal"/>
              <w:rPr>
                <w:rFonts w:ascii="Arial" w:eastAsia="Arial" w:hAnsi="Arial" w:cs="Arial"/>
                <w:sz w:val="24"/>
              </w:rPr>
            </w:pPr>
            <w:r>
              <w:rPr>
                <w:noProof/>
              </w:rPr>
              <w:drawing>
                <wp:inline distT="0" distB="0" distL="0" distR="0" wp14:anchorId="3768C9BB" wp14:editId="4A0FD4BD">
                  <wp:extent cx="887095" cy="313690"/>
                  <wp:effectExtent l="0" t="0" r="0" b="0"/>
                  <wp:docPr id="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6.png"/>
                          <pic:cNvPicPr>
                            <a:picLocks noChangeAspect="1" noChangeArrowheads="1"/>
                          </pic:cNvPicPr>
                        </pic:nvPicPr>
                        <pic:blipFill>
                          <a:blip r:embed="rId12"/>
                          <a:stretch>
                            <a:fillRect/>
                          </a:stretch>
                        </pic:blipFill>
                        <pic:spPr bwMode="auto">
                          <a:xfrm>
                            <a:off x="0" y="0"/>
                            <a:ext cx="887095" cy="313690"/>
                          </a:xfrm>
                          <a:prstGeom prst="rect">
                            <a:avLst/>
                          </a:prstGeom>
                        </pic:spPr>
                      </pic:pic>
                    </a:graphicData>
                  </a:graphic>
                </wp:inline>
              </w:drawing>
            </w:r>
          </w:p>
        </w:tc>
        <w:tc>
          <w:tcPr>
            <w:tcW w:w="12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806A19" w14:textId="77777777" w:rsidR="00975E2E" w:rsidRDefault="00524696">
            <w:pPr>
              <w:pStyle w:val="LO-normal"/>
              <w:rPr>
                <w:rFonts w:ascii="Arial" w:eastAsia="Arial" w:hAnsi="Arial" w:cs="Arial"/>
                <w:sz w:val="24"/>
              </w:rPr>
            </w:pPr>
            <w:r>
              <w:t>04.04.2020</w:t>
            </w:r>
          </w:p>
        </w:tc>
      </w:tr>
      <w:tr w:rsidR="00975E2E" w14:paraId="67BF7C54" w14:textId="77777777">
        <w:trPr>
          <w:trHeight w:val="786"/>
        </w:trPr>
        <w:tc>
          <w:tcPr>
            <w:tcW w:w="13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6A549E" w14:textId="77777777" w:rsidR="00975E2E" w:rsidRDefault="00524696">
            <w:pPr>
              <w:pStyle w:val="LO-normal"/>
              <w:rPr>
                <w:rFonts w:ascii="Arial" w:eastAsia="Arial" w:hAnsi="Arial" w:cs="Arial"/>
                <w:sz w:val="24"/>
              </w:rPr>
            </w:pPr>
            <w:r>
              <w:rPr>
                <w:rFonts w:ascii="Arial" w:eastAsia="Arial" w:hAnsi="Arial" w:cs="Arial"/>
                <w:sz w:val="24"/>
              </w:rPr>
              <w:t>Autorizador del documento</w:t>
            </w:r>
          </w:p>
        </w:tc>
        <w:tc>
          <w:tcPr>
            <w:tcW w:w="25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3D1F79" w14:textId="77777777" w:rsidR="00975E2E" w:rsidRDefault="00524696">
            <w:pPr>
              <w:pStyle w:val="LO-normal"/>
              <w:rPr>
                <w:rFonts w:ascii="Arial" w:eastAsia="Arial" w:hAnsi="Arial" w:cs="Arial"/>
                <w:sz w:val="24"/>
              </w:rPr>
            </w:pPr>
            <w:r>
              <w:rPr>
                <w:rFonts w:ascii="Arial" w:eastAsia="Arial" w:hAnsi="Arial" w:cs="Arial"/>
                <w:sz w:val="24"/>
              </w:rPr>
              <w:t xml:space="preserve">Xavier </w:t>
            </w:r>
            <w:r>
              <w:rPr>
                <w:rFonts w:ascii="Arial" w:eastAsia="Arial" w:hAnsi="Arial" w:cs="Arial"/>
                <w:sz w:val="24"/>
              </w:rPr>
              <w:t>CASTELLANOS</w:t>
            </w:r>
          </w:p>
        </w:tc>
        <w:tc>
          <w:tcPr>
            <w:tcW w:w="32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ED11FE" w14:textId="77777777" w:rsidR="00975E2E" w:rsidRDefault="00524696">
            <w:pPr>
              <w:pStyle w:val="LO-normal"/>
              <w:rPr>
                <w:rFonts w:ascii="Arial" w:eastAsia="Arial" w:hAnsi="Arial" w:cs="Arial"/>
                <w:sz w:val="24"/>
              </w:rPr>
            </w:pPr>
            <w:r>
              <w:rPr>
                <w:rFonts w:ascii="Arial" w:eastAsia="Arial" w:hAnsi="Arial" w:cs="Arial"/>
                <w:sz w:val="24"/>
              </w:rPr>
              <w:t>Secretario General Adjunto interino de Programas y Operaciones</w:t>
            </w:r>
          </w:p>
        </w:tc>
        <w:tc>
          <w:tcPr>
            <w:tcW w:w="131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D7F71F" w14:textId="77777777" w:rsidR="00975E2E" w:rsidRDefault="00524696">
            <w:pPr>
              <w:pStyle w:val="LO-normal"/>
              <w:rPr>
                <w:rFonts w:ascii="Arial" w:eastAsia="Arial" w:hAnsi="Arial" w:cs="Arial"/>
                <w:sz w:val="24"/>
              </w:rPr>
            </w:pPr>
            <w:r>
              <w:rPr>
                <w:rFonts w:ascii="Arial" w:eastAsia="Arial" w:hAnsi="Arial" w:cs="Arial"/>
                <w:noProof/>
                <w:sz w:val="24"/>
              </w:rPr>
              <w:drawing>
                <wp:anchor distT="0" distB="0" distL="0" distR="0" simplePos="0" relativeHeight="4" behindDoc="0" locked="0" layoutInCell="1" allowOverlap="1" wp14:anchorId="5C612D47" wp14:editId="1712D5BC">
                  <wp:simplePos x="0" y="0"/>
                  <wp:positionH relativeFrom="column">
                    <wp:posOffset>-147955</wp:posOffset>
                  </wp:positionH>
                  <wp:positionV relativeFrom="paragraph">
                    <wp:posOffset>10795</wp:posOffset>
                  </wp:positionV>
                  <wp:extent cx="1053465" cy="591820"/>
                  <wp:effectExtent l="0" t="0" r="0" b="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a:picLocks noChangeAspect="1" noChangeArrowheads="1"/>
                          </pic:cNvPicPr>
                        </pic:nvPicPr>
                        <pic:blipFill>
                          <a:blip r:embed="rId13"/>
                          <a:stretch>
                            <a:fillRect/>
                          </a:stretch>
                        </pic:blipFill>
                        <pic:spPr bwMode="auto">
                          <a:xfrm>
                            <a:off x="0" y="0"/>
                            <a:ext cx="1053465" cy="591820"/>
                          </a:xfrm>
                          <a:prstGeom prst="rect">
                            <a:avLst/>
                          </a:prstGeom>
                        </pic:spPr>
                      </pic:pic>
                    </a:graphicData>
                  </a:graphic>
                </wp:anchor>
              </w:drawing>
            </w:r>
          </w:p>
        </w:tc>
        <w:tc>
          <w:tcPr>
            <w:tcW w:w="12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301C6F" w14:textId="77777777" w:rsidR="00975E2E" w:rsidRDefault="00524696">
            <w:pPr>
              <w:pStyle w:val="LO-normal"/>
              <w:rPr>
                <w:rFonts w:ascii="Arial" w:eastAsia="Arial" w:hAnsi="Arial" w:cs="Arial"/>
                <w:sz w:val="24"/>
              </w:rPr>
            </w:pPr>
            <w:r>
              <w:t>04.04.2020</w:t>
            </w:r>
          </w:p>
        </w:tc>
      </w:tr>
    </w:tbl>
    <w:p w14:paraId="38119097" w14:textId="77777777" w:rsidR="00975E2E" w:rsidRDefault="00975E2E">
      <w:pPr>
        <w:pStyle w:val="LO-normal"/>
        <w:rPr>
          <w:rFonts w:ascii="Arial" w:eastAsia="Arial" w:hAnsi="Arial" w:cs="Arial"/>
        </w:rPr>
      </w:pPr>
    </w:p>
    <w:p w14:paraId="14E4B4D2" w14:textId="77777777" w:rsidR="00975E2E" w:rsidRDefault="00975E2E">
      <w:pPr>
        <w:pStyle w:val="LO-normal"/>
        <w:rPr>
          <w:rFonts w:ascii="Arial" w:eastAsia="Arial" w:hAnsi="Arial" w:cs="Arial"/>
          <w:sz w:val="24"/>
        </w:rPr>
      </w:pPr>
    </w:p>
    <w:p w14:paraId="24F9861A" w14:textId="77777777" w:rsidR="00975E2E" w:rsidRDefault="00524696">
      <w:pPr>
        <w:pStyle w:val="LO-normal"/>
        <w:rPr>
          <w:rFonts w:ascii="Arial" w:eastAsia="Arial" w:hAnsi="Arial" w:cs="Arial"/>
          <w:sz w:val="24"/>
        </w:rPr>
      </w:pPr>
      <w:r>
        <w:rPr>
          <w:rFonts w:ascii="Arial" w:eastAsia="Arial" w:hAnsi="Arial" w:cs="Arial"/>
          <w:sz w:val="24"/>
        </w:rPr>
        <w:t xml:space="preserve">Versión </w:t>
      </w:r>
      <w:proofErr w:type="spellStart"/>
      <w:r>
        <w:rPr>
          <w:rFonts w:ascii="Arial" w:eastAsia="Arial" w:hAnsi="Arial" w:cs="Arial"/>
          <w:sz w:val="24"/>
        </w:rPr>
        <w:t>numero</w:t>
      </w:r>
      <w:proofErr w:type="spellEnd"/>
      <w:r>
        <w:rPr>
          <w:rFonts w:ascii="Arial" w:eastAsia="Arial" w:hAnsi="Arial" w:cs="Arial"/>
          <w:sz w:val="24"/>
        </w:rPr>
        <w:t>: v.2</w:t>
      </w:r>
    </w:p>
    <w:p w14:paraId="139A5490" w14:textId="77777777" w:rsidR="00975E2E" w:rsidRDefault="00524696">
      <w:pPr>
        <w:pStyle w:val="LO-normal"/>
        <w:tabs>
          <w:tab w:val="left" w:pos="7088"/>
        </w:tabs>
        <w:rPr>
          <w:rFonts w:ascii="Arial" w:eastAsia="Arial" w:hAnsi="Arial" w:cs="Arial"/>
          <w:sz w:val="24"/>
        </w:rPr>
      </w:pPr>
      <w:r>
        <w:rPr>
          <w:rFonts w:ascii="Arial" w:eastAsia="Arial" w:hAnsi="Arial" w:cs="Arial"/>
          <w:sz w:val="24"/>
        </w:rPr>
        <w:t xml:space="preserve">Fecha de autorización: 04.04.2020 </w:t>
      </w:r>
    </w:p>
    <w:p w14:paraId="22AAC5DF" w14:textId="77777777" w:rsidR="00975E2E" w:rsidRDefault="00975E2E">
      <w:pPr>
        <w:pStyle w:val="LO-normal"/>
        <w:tabs>
          <w:tab w:val="left" w:pos="7088"/>
        </w:tabs>
        <w:rPr>
          <w:rFonts w:ascii="Arial" w:eastAsia="Arial" w:hAnsi="Arial" w:cs="Arial"/>
          <w:sz w:val="24"/>
        </w:rPr>
      </w:pPr>
    </w:p>
    <w:p w14:paraId="0C75C046" w14:textId="77777777" w:rsidR="00975E2E" w:rsidRDefault="00975E2E">
      <w:pPr>
        <w:pStyle w:val="LO-normal"/>
        <w:tabs>
          <w:tab w:val="left" w:pos="7088"/>
        </w:tabs>
        <w:rPr>
          <w:rFonts w:ascii="Arial" w:eastAsia="Arial" w:hAnsi="Arial" w:cs="Arial"/>
          <w:sz w:val="24"/>
        </w:rPr>
      </w:pPr>
    </w:p>
    <w:p w14:paraId="1C5E031E" w14:textId="77777777" w:rsidR="00975E2E" w:rsidRDefault="00975E2E">
      <w:pPr>
        <w:pStyle w:val="LO-normal"/>
        <w:spacing w:before="280" w:after="240"/>
        <w:jc w:val="center"/>
        <w:rPr>
          <w:rFonts w:ascii="Arial" w:eastAsia="Arial" w:hAnsi="Arial" w:cs="Arial"/>
          <w:b/>
          <w:color w:val="000000"/>
          <w:sz w:val="36"/>
        </w:rPr>
      </w:pPr>
    </w:p>
    <w:p w14:paraId="5DAA4687" w14:textId="77777777" w:rsidR="00975E2E" w:rsidRDefault="00975E2E">
      <w:pPr>
        <w:pStyle w:val="LO-normal"/>
        <w:spacing w:before="280" w:after="240"/>
        <w:jc w:val="center"/>
        <w:rPr>
          <w:rFonts w:ascii="Arial" w:eastAsia="Arial" w:hAnsi="Arial" w:cs="Arial"/>
          <w:b/>
          <w:color w:val="000000"/>
          <w:sz w:val="36"/>
        </w:rPr>
      </w:pPr>
    </w:p>
    <w:p w14:paraId="58E05167" w14:textId="77777777" w:rsidR="00975E2E" w:rsidRDefault="00975E2E">
      <w:pPr>
        <w:pStyle w:val="LO-normal"/>
        <w:spacing w:before="280" w:after="240"/>
        <w:jc w:val="center"/>
        <w:rPr>
          <w:rFonts w:ascii="Arial" w:eastAsia="Arial" w:hAnsi="Arial" w:cs="Arial"/>
          <w:b/>
          <w:color w:val="000000"/>
          <w:sz w:val="36"/>
        </w:rPr>
      </w:pPr>
    </w:p>
    <w:p w14:paraId="309FC2C5" w14:textId="77777777" w:rsidR="00975E2E" w:rsidRDefault="00524696">
      <w:pPr>
        <w:pStyle w:val="Heading1"/>
      </w:pPr>
      <w:r>
        <w:t>1.</w:t>
      </w:r>
      <w:r>
        <w:tab/>
        <w:t>Propósito</w:t>
      </w:r>
    </w:p>
    <w:p w14:paraId="7BFFDE0C" w14:textId="77777777" w:rsidR="00975E2E" w:rsidRDefault="00524696" w:rsidP="00E45812">
      <w:pPr>
        <w:pStyle w:val="LO-normal"/>
        <w:spacing w:before="280" w:line="300" w:lineRule="exact"/>
        <w:jc w:val="both"/>
        <w:rPr>
          <w:rFonts w:ascii="Arial" w:eastAsia="Arial" w:hAnsi="Arial" w:cs="Arial"/>
          <w:color w:val="000000"/>
          <w:sz w:val="24"/>
        </w:rPr>
      </w:pPr>
      <w:r>
        <w:rPr>
          <w:rFonts w:ascii="Arial" w:eastAsia="Arial" w:hAnsi="Arial" w:cs="Arial"/>
          <w:color w:val="000000"/>
          <w:sz w:val="24"/>
        </w:rPr>
        <w:t>El propósito de esta Directiva sobre el proceso de adquisición simplificado para la respuesta a la Covid-19 (la "Directiva") es brindar una breve descripción de los requisitos del procedimiento de adquisiciones que se deben seguir para cualquier adquisició</w:t>
      </w:r>
      <w:r>
        <w:rPr>
          <w:rFonts w:ascii="Arial" w:eastAsia="Arial" w:hAnsi="Arial" w:cs="Arial"/>
          <w:color w:val="000000"/>
          <w:sz w:val="24"/>
        </w:rPr>
        <w:t>n realizada para la respuesta de emergencia a la Covid-19. En un entorno en el que toda la cadena de suministro humanitaria enfrenta desafíos, tales como la falta de disponibilidad de suministros, la demanda real que excede las capacidades de fabricación d</w:t>
      </w:r>
      <w:r>
        <w:rPr>
          <w:rFonts w:ascii="Arial" w:eastAsia="Arial" w:hAnsi="Arial" w:cs="Arial"/>
          <w:color w:val="000000"/>
          <w:sz w:val="24"/>
        </w:rPr>
        <w:t>e suministros, los mercados inundados con suministros falsificados que no cumplen con los estándares mínimos de calidad, las restricciones de los países en términos de exportación, la falta de oportunidades para enviar suministros a los condados y sitios o</w:t>
      </w:r>
      <w:r>
        <w:rPr>
          <w:rFonts w:ascii="Arial" w:eastAsia="Arial" w:hAnsi="Arial" w:cs="Arial"/>
          <w:color w:val="000000"/>
          <w:sz w:val="24"/>
        </w:rPr>
        <w:t xml:space="preserve">perativos, los retrasos en los envíos, etc., esta Directiva tiene por objeto acelerar la gestión del abastecimiento y las adquisiciones con un cierto grado de flexibilidad y garantizar niveles adecuados de conformidad y responsabilidad. </w:t>
      </w:r>
    </w:p>
    <w:p w14:paraId="21F67470" w14:textId="77777777" w:rsidR="00975E2E" w:rsidRDefault="00975E2E" w:rsidP="00E45812">
      <w:pPr>
        <w:pStyle w:val="LO-normal"/>
        <w:spacing w:line="300" w:lineRule="exact"/>
        <w:ind w:left="709" w:hanging="567"/>
        <w:rPr>
          <w:rFonts w:ascii="Arial" w:eastAsia="Arial" w:hAnsi="Arial" w:cs="Arial"/>
          <w:color w:val="000000"/>
          <w:sz w:val="24"/>
        </w:rPr>
      </w:pPr>
    </w:p>
    <w:p w14:paraId="06DDACC1" w14:textId="77777777" w:rsidR="00975E2E" w:rsidRDefault="00524696" w:rsidP="00E45812">
      <w:pPr>
        <w:pStyle w:val="LO-normal"/>
        <w:spacing w:after="280" w:line="300" w:lineRule="exact"/>
        <w:jc w:val="both"/>
      </w:pPr>
      <w:r>
        <w:rPr>
          <w:rFonts w:ascii="Arial" w:eastAsia="Arial" w:hAnsi="Arial" w:cs="Arial"/>
          <w:color w:val="000000"/>
          <w:sz w:val="24"/>
        </w:rPr>
        <w:t xml:space="preserve">La Directiva entrará en vigor con efecto inmediato y seguirá siendo válida durante la respuesta de emergencia a la Covid-19 y se aplicará para las adquisiciones mundiales, regionales y locales, a menos que el </w:t>
      </w:r>
      <w:proofErr w:type="gramStart"/>
      <w:r>
        <w:rPr>
          <w:rFonts w:ascii="Arial" w:eastAsia="Arial" w:hAnsi="Arial" w:cs="Arial"/>
          <w:color w:val="000000"/>
          <w:sz w:val="24"/>
        </w:rPr>
        <w:t>Director</w:t>
      </w:r>
      <w:proofErr w:type="gramEnd"/>
      <w:r>
        <w:rPr>
          <w:rFonts w:ascii="Arial" w:eastAsia="Arial" w:hAnsi="Arial" w:cs="Arial"/>
          <w:color w:val="000000"/>
          <w:sz w:val="24"/>
        </w:rPr>
        <w:t xml:space="preserve"> de LPSCM (gestión de logística, adquis</w:t>
      </w:r>
      <w:r>
        <w:rPr>
          <w:rFonts w:ascii="Arial" w:eastAsia="Arial" w:hAnsi="Arial" w:cs="Arial"/>
          <w:color w:val="000000"/>
          <w:sz w:val="24"/>
        </w:rPr>
        <w:t xml:space="preserve">iciones y la cadena de suministro) decida lo contrario. Esta Directiva complementa las </w:t>
      </w:r>
      <w:hyperlink r:id="rId14">
        <w:r>
          <w:rPr>
            <w:rFonts w:ascii="Arial" w:eastAsia="Arial" w:hAnsi="Arial" w:cs="Arial"/>
            <w:b/>
            <w:i/>
            <w:color w:val="0000FF"/>
            <w:sz w:val="24"/>
            <w:u w:val="single"/>
          </w:rPr>
          <w:t xml:space="preserve">Directivas de adquisiciones </w:t>
        </w:r>
        <w:proofErr w:type="spellStart"/>
        <w:r>
          <w:rPr>
            <w:rFonts w:ascii="Arial" w:eastAsia="Arial" w:hAnsi="Arial" w:cs="Arial"/>
            <w:b/>
            <w:i/>
            <w:color w:val="0000FF"/>
            <w:sz w:val="24"/>
            <w:u w:val="single"/>
          </w:rPr>
          <w:t>n.°</w:t>
        </w:r>
        <w:proofErr w:type="spellEnd"/>
        <w:r>
          <w:rPr>
            <w:rFonts w:ascii="Arial" w:eastAsia="Arial" w:hAnsi="Arial" w:cs="Arial"/>
            <w:b/>
            <w:i/>
            <w:color w:val="0000FF"/>
            <w:sz w:val="24"/>
            <w:u w:val="single"/>
          </w:rPr>
          <w:t> 240</w:t>
        </w:r>
      </w:hyperlink>
      <w:r>
        <w:rPr>
          <w:rFonts w:ascii="Arial" w:eastAsia="Arial" w:hAnsi="Arial" w:cs="Arial"/>
          <w:color w:val="000000"/>
          <w:sz w:val="24"/>
        </w:rPr>
        <w:t xml:space="preserve"> emitidas en noviembre de 2018.</w:t>
      </w:r>
    </w:p>
    <w:p w14:paraId="01392735" w14:textId="77777777" w:rsidR="00975E2E" w:rsidRDefault="00524696" w:rsidP="00E45812">
      <w:pPr>
        <w:pStyle w:val="Heading1"/>
        <w:spacing w:line="300" w:lineRule="exact"/>
      </w:pPr>
      <w:r>
        <w:t>2.</w:t>
      </w:r>
      <w:r>
        <w:tab/>
        <w:t xml:space="preserve">Resumen ejecutivo </w:t>
      </w:r>
    </w:p>
    <w:p w14:paraId="08A1CD7C" w14:textId="77777777" w:rsidR="00975E2E" w:rsidRDefault="00975E2E" w:rsidP="00E45812">
      <w:pPr>
        <w:pStyle w:val="LO-normal"/>
        <w:spacing w:line="300" w:lineRule="exact"/>
        <w:ind w:left="709" w:hanging="567"/>
        <w:rPr>
          <w:rFonts w:ascii="Arial" w:eastAsia="Arial" w:hAnsi="Arial" w:cs="Arial"/>
          <w:color w:val="000000"/>
          <w:sz w:val="24"/>
        </w:rPr>
      </w:pPr>
    </w:p>
    <w:p w14:paraId="4254CE7D" w14:textId="77777777" w:rsidR="00975E2E" w:rsidRDefault="00524696" w:rsidP="00E45812">
      <w:pPr>
        <w:pStyle w:val="LO-normal"/>
        <w:numPr>
          <w:ilvl w:val="0"/>
          <w:numId w:val="2"/>
        </w:numPr>
        <w:spacing w:line="300" w:lineRule="exact"/>
        <w:jc w:val="both"/>
        <w:rPr>
          <w:color w:val="000000"/>
          <w:sz w:val="24"/>
        </w:rPr>
      </w:pPr>
      <w:r>
        <w:rPr>
          <w:rFonts w:ascii="Arial" w:eastAsia="Arial" w:hAnsi="Arial" w:cs="Arial"/>
          <w:color w:val="000000"/>
          <w:sz w:val="24"/>
        </w:rPr>
        <w:t>Se aplica la rápida aprobación excepcional para garantizar una entrega eficaz y eficiente (en un plazo de 24 horas), especialmente la aprobación excepcional cuando pueda no ser práctico realizar un proceso de licitación.</w:t>
      </w:r>
    </w:p>
    <w:p w14:paraId="4A82587B" w14:textId="77777777" w:rsidR="00975E2E" w:rsidRDefault="00524696" w:rsidP="00E45812">
      <w:pPr>
        <w:pStyle w:val="LO-normal"/>
        <w:numPr>
          <w:ilvl w:val="0"/>
          <w:numId w:val="2"/>
        </w:numPr>
        <w:spacing w:line="300" w:lineRule="exact"/>
        <w:jc w:val="both"/>
        <w:rPr>
          <w:color w:val="000000"/>
          <w:sz w:val="24"/>
        </w:rPr>
      </w:pPr>
      <w:r>
        <w:rPr>
          <w:rFonts w:ascii="Arial" w:eastAsia="Arial" w:hAnsi="Arial" w:cs="Arial"/>
          <w:color w:val="000000"/>
          <w:sz w:val="24"/>
        </w:rPr>
        <w:t>La rápida a</w:t>
      </w:r>
      <w:r>
        <w:rPr>
          <w:rFonts w:ascii="Arial" w:eastAsia="Arial" w:hAnsi="Arial" w:cs="Arial"/>
          <w:color w:val="000000"/>
          <w:sz w:val="24"/>
        </w:rPr>
        <w:t>probación técnica de adquisiciones y del Comité de contratos para archivos enviados debe otorgarse en un plazo de 24 horas.</w:t>
      </w:r>
    </w:p>
    <w:p w14:paraId="0589385C" w14:textId="77777777" w:rsidR="00975E2E" w:rsidRDefault="00524696" w:rsidP="00E45812">
      <w:pPr>
        <w:pStyle w:val="LO-normal"/>
        <w:numPr>
          <w:ilvl w:val="0"/>
          <w:numId w:val="2"/>
        </w:numPr>
        <w:spacing w:line="300" w:lineRule="exact"/>
        <w:jc w:val="both"/>
        <w:rPr>
          <w:color w:val="000000"/>
          <w:sz w:val="24"/>
        </w:rPr>
      </w:pPr>
      <w:r>
        <w:rPr>
          <w:rFonts w:ascii="Arial" w:eastAsia="Arial" w:hAnsi="Arial" w:cs="Arial"/>
          <w:color w:val="000000"/>
          <w:sz w:val="24"/>
        </w:rPr>
        <w:t>Se han establecido puntos de contacto únicos específicos para apoyar el procesamiento de las adquisiciones y el control de calidad d</w:t>
      </w:r>
      <w:r>
        <w:rPr>
          <w:rFonts w:ascii="Arial" w:eastAsia="Arial" w:hAnsi="Arial" w:cs="Arial"/>
          <w:color w:val="000000"/>
          <w:sz w:val="24"/>
        </w:rPr>
        <w:t>e los artículos médicos, tales como mascarillas y guantes.</w:t>
      </w:r>
    </w:p>
    <w:p w14:paraId="7C43D472" w14:textId="77777777" w:rsidR="00975E2E" w:rsidRDefault="00524696" w:rsidP="00E45812">
      <w:pPr>
        <w:pStyle w:val="LO-normal"/>
        <w:numPr>
          <w:ilvl w:val="0"/>
          <w:numId w:val="2"/>
        </w:numPr>
        <w:spacing w:line="300" w:lineRule="exact"/>
        <w:jc w:val="both"/>
        <w:rPr>
          <w:color w:val="000000"/>
          <w:sz w:val="24"/>
        </w:rPr>
      </w:pPr>
      <w:r>
        <w:rPr>
          <w:rFonts w:ascii="Arial" w:eastAsia="Arial" w:hAnsi="Arial" w:cs="Arial"/>
          <w:color w:val="000000"/>
          <w:sz w:val="24"/>
        </w:rPr>
        <w:t>Delegación excepcional de autoridad para aumentar el umbral de CHF 1 000 a CHF 5 000 para el proceso de oferta única para la adquisición de EPP y equipo médico, que se solicitará a la unidad de LPS</w:t>
      </w:r>
      <w:r>
        <w:rPr>
          <w:rFonts w:ascii="Arial" w:eastAsia="Arial" w:hAnsi="Arial" w:cs="Arial"/>
          <w:color w:val="000000"/>
          <w:sz w:val="24"/>
        </w:rPr>
        <w:t xml:space="preserve">CM operativa regional pertinente de acuerdo con la sección 3 de las Directivas de adquisición </w:t>
      </w:r>
      <w:proofErr w:type="spellStart"/>
      <w:r>
        <w:rPr>
          <w:rFonts w:ascii="Arial" w:eastAsia="Arial" w:hAnsi="Arial" w:cs="Arial"/>
          <w:color w:val="000000"/>
          <w:sz w:val="24"/>
        </w:rPr>
        <w:t>n.°</w:t>
      </w:r>
      <w:proofErr w:type="spellEnd"/>
      <w:r>
        <w:rPr>
          <w:rFonts w:ascii="Arial" w:eastAsia="Arial" w:hAnsi="Arial" w:cs="Arial"/>
          <w:color w:val="000000"/>
          <w:sz w:val="24"/>
        </w:rPr>
        <w:t> 240 emitidas en noviembre de 2018.</w:t>
      </w:r>
    </w:p>
    <w:p w14:paraId="513A0E00" w14:textId="77777777" w:rsidR="00975E2E" w:rsidRDefault="00975E2E" w:rsidP="00E45812">
      <w:pPr>
        <w:pStyle w:val="LO-normal"/>
        <w:spacing w:line="300" w:lineRule="exact"/>
        <w:ind w:left="709" w:hanging="567"/>
        <w:rPr>
          <w:rFonts w:ascii="Arial" w:eastAsia="Arial" w:hAnsi="Arial" w:cs="Arial"/>
          <w:color w:val="000000"/>
          <w:sz w:val="24"/>
        </w:rPr>
      </w:pPr>
    </w:p>
    <w:p w14:paraId="3B38081E" w14:textId="77777777" w:rsidR="00975E2E" w:rsidRDefault="00524696" w:rsidP="00E45812">
      <w:pPr>
        <w:pStyle w:val="Heading1"/>
        <w:spacing w:before="0" w:line="300" w:lineRule="exact"/>
      </w:pPr>
      <w:r>
        <w:t>3.</w:t>
      </w:r>
      <w:r>
        <w:tab/>
        <w:t xml:space="preserve">Estrategia de abastecimiento de suministros </w:t>
      </w:r>
    </w:p>
    <w:p w14:paraId="6F9C32E0" w14:textId="77777777" w:rsidR="00975E2E" w:rsidRDefault="00975E2E" w:rsidP="00E45812">
      <w:pPr>
        <w:pStyle w:val="LO-normal"/>
        <w:spacing w:line="300" w:lineRule="exact"/>
        <w:ind w:left="709" w:hanging="567"/>
        <w:rPr>
          <w:rFonts w:ascii="Arial" w:eastAsia="Arial" w:hAnsi="Arial" w:cs="Arial"/>
          <w:color w:val="000000"/>
          <w:sz w:val="24"/>
        </w:rPr>
      </w:pPr>
    </w:p>
    <w:p w14:paraId="56589C42" w14:textId="77777777" w:rsidR="00975E2E" w:rsidRDefault="00524696" w:rsidP="00E45812">
      <w:pPr>
        <w:pStyle w:val="Heading2"/>
        <w:spacing w:line="300" w:lineRule="exact"/>
        <w:jc w:val="both"/>
      </w:pPr>
      <w:r>
        <w:t>3.1. El abastecimiento de EPP, tales como mascarillas, guantes, batas, ga</w:t>
      </w:r>
      <w:r>
        <w:t xml:space="preserve">fas protectoras y pantallas faciales, se coordinará y llevará a cabo a nivel mundial o regional, por una o varias unidades regionales de operaciones de LPSCM, GVA o GSC Budapest. </w:t>
      </w:r>
    </w:p>
    <w:p w14:paraId="206F6493" w14:textId="77777777" w:rsidR="00975E2E" w:rsidRDefault="00975E2E" w:rsidP="00E45812">
      <w:pPr>
        <w:pStyle w:val="LO-normal"/>
        <w:spacing w:line="300" w:lineRule="exact"/>
        <w:ind w:left="709" w:hanging="567"/>
        <w:jc w:val="both"/>
        <w:rPr>
          <w:rFonts w:ascii="Arial" w:eastAsia="Arial" w:hAnsi="Arial" w:cs="Arial"/>
          <w:color w:val="000000"/>
          <w:sz w:val="24"/>
        </w:rPr>
      </w:pPr>
    </w:p>
    <w:p w14:paraId="6C7211A6" w14:textId="77777777" w:rsidR="00975E2E" w:rsidRDefault="00524696" w:rsidP="00E45812">
      <w:pPr>
        <w:pStyle w:val="Heading2"/>
        <w:spacing w:line="300" w:lineRule="exact"/>
        <w:jc w:val="both"/>
      </w:pPr>
      <w:r>
        <w:lastRenderedPageBreak/>
        <w:t xml:space="preserve">3.2. El abastecimiento de jabón, desinfectante, bolsas mortuorias, guantes </w:t>
      </w:r>
      <w:r>
        <w:t>de goma, botas, desinfectante de manos, termómetros y cualquier otra solicitud menos crítica puede obtenerse localmente. Los equipos operativos de LPSCM pertinentes apoyarán las operaciones en el país con abastecimiento local. En caso de problemas con el a</w:t>
      </w:r>
      <w:r>
        <w:t xml:space="preserve">bastecimiento local, la unidad de LPSCM operativa pertinente puede consolidar las necesidades regionales para gestionar el proceso desde la LPSCM operativa regional. </w:t>
      </w:r>
    </w:p>
    <w:p w14:paraId="6F1BFA9F" w14:textId="77777777" w:rsidR="00975E2E" w:rsidRDefault="00975E2E" w:rsidP="00E45812">
      <w:pPr>
        <w:pStyle w:val="LO-normal"/>
        <w:spacing w:line="300" w:lineRule="exact"/>
        <w:ind w:left="709" w:hanging="567"/>
        <w:jc w:val="both"/>
        <w:rPr>
          <w:rFonts w:ascii="Arial" w:eastAsia="Arial" w:hAnsi="Arial" w:cs="Arial"/>
          <w:color w:val="000000"/>
          <w:sz w:val="24"/>
        </w:rPr>
      </w:pPr>
    </w:p>
    <w:p w14:paraId="1F6AA691" w14:textId="77777777" w:rsidR="00975E2E" w:rsidRDefault="00524696" w:rsidP="00E45812">
      <w:pPr>
        <w:pStyle w:val="Heading2"/>
        <w:spacing w:line="300" w:lineRule="exact"/>
        <w:jc w:val="both"/>
      </w:pPr>
      <w:r>
        <w:t xml:space="preserve">3.3. El abastecimiento de equipos médicos será coordinado a nivel mundial o regional. </w:t>
      </w:r>
    </w:p>
    <w:p w14:paraId="5984C571" w14:textId="77777777" w:rsidR="00975E2E" w:rsidRDefault="00524696" w:rsidP="00E45812">
      <w:pPr>
        <w:pStyle w:val="Heading2"/>
        <w:spacing w:line="300" w:lineRule="exact"/>
        <w:jc w:val="both"/>
      </w:pPr>
      <w:r>
        <w:t>3</w:t>
      </w:r>
      <w:r>
        <w:t>.4. El abastecimiento y la adquisición de cualquier suministro de alimentos u otros artículos continuarán siendo gestionados por las autoridades de adquisiciones pertinentes dentro de sus niveles de autorización delegada. Las oficinas de grupo y de país co</w:t>
      </w:r>
      <w:r>
        <w:t>ordinarán de antemano el proceso de adquisición requerido con su respectiva unidad de LPSCM operativa regional y se aplicarán los requisitos estándar para la adquisición de alimentos de la FICR.</w:t>
      </w:r>
    </w:p>
    <w:p w14:paraId="559765CD" w14:textId="77777777" w:rsidR="00975E2E" w:rsidRDefault="00975E2E" w:rsidP="00E45812">
      <w:pPr>
        <w:pStyle w:val="LO-normal"/>
        <w:spacing w:line="300" w:lineRule="exact"/>
        <w:jc w:val="both"/>
      </w:pPr>
    </w:p>
    <w:p w14:paraId="2C295CF0" w14:textId="77777777" w:rsidR="00975E2E" w:rsidRDefault="00524696" w:rsidP="00E45812">
      <w:pPr>
        <w:pStyle w:val="LO-normal"/>
        <w:spacing w:after="240" w:line="300" w:lineRule="exact"/>
        <w:jc w:val="both"/>
        <w:rPr>
          <w:rFonts w:ascii="Arial" w:eastAsia="Arial" w:hAnsi="Arial" w:cs="Arial"/>
          <w:color w:val="000000"/>
          <w:sz w:val="24"/>
        </w:rPr>
      </w:pPr>
      <w:r>
        <w:rPr>
          <w:rFonts w:ascii="Arial" w:eastAsia="Arial" w:hAnsi="Arial" w:cs="Arial"/>
          <w:color w:val="000000"/>
          <w:sz w:val="24"/>
        </w:rPr>
        <w:t>Con el fin de garantizar la mejor y más rápida respuesta ope</w:t>
      </w:r>
      <w:r>
        <w:rPr>
          <w:rFonts w:ascii="Arial" w:eastAsia="Arial" w:hAnsi="Arial" w:cs="Arial"/>
          <w:color w:val="000000"/>
          <w:sz w:val="24"/>
        </w:rPr>
        <w:t>rativa, en circunstancias excepcionales, tales como el contexto del país, las restricciones a la importación, etc., se realizará una evaluación basada en el riesgo y, siempre que exista la disponibilidad de suministro adecuada a nivel de operaciones, el je</w:t>
      </w:r>
      <w:r>
        <w:rPr>
          <w:rFonts w:ascii="Arial" w:eastAsia="Arial" w:hAnsi="Arial" w:cs="Arial"/>
          <w:color w:val="000000"/>
          <w:sz w:val="24"/>
        </w:rPr>
        <w:t xml:space="preserve">fe de la unidad de LPSCM operativa regional pertinente tomará una decisión informada posterior en consulta con el </w:t>
      </w:r>
      <w:proofErr w:type="gramStart"/>
      <w:r>
        <w:rPr>
          <w:rFonts w:ascii="Arial" w:eastAsia="Arial" w:hAnsi="Arial" w:cs="Arial"/>
          <w:color w:val="000000"/>
          <w:sz w:val="24"/>
        </w:rPr>
        <w:t>Director</w:t>
      </w:r>
      <w:proofErr w:type="gramEnd"/>
      <w:r>
        <w:rPr>
          <w:rFonts w:ascii="Arial" w:eastAsia="Arial" w:hAnsi="Arial" w:cs="Arial"/>
          <w:color w:val="000000"/>
          <w:sz w:val="24"/>
        </w:rPr>
        <w:t xml:space="preserve"> de LPSCM para:</w:t>
      </w:r>
    </w:p>
    <w:p w14:paraId="49DF3981" w14:textId="77777777" w:rsidR="00975E2E" w:rsidRDefault="00524696" w:rsidP="00E45812">
      <w:pPr>
        <w:pStyle w:val="Heading3"/>
        <w:spacing w:line="300" w:lineRule="exact"/>
        <w:jc w:val="both"/>
      </w:pPr>
      <w:r>
        <w:t xml:space="preserve"> 3.4.1.</w:t>
      </w:r>
      <w:r>
        <w:tab/>
        <w:t>Autorizar la adquisición localmente o desde las oficinas de grupo pertinentes. Es imperativo tener recursos de</w:t>
      </w:r>
      <w:r>
        <w:t xml:space="preserve"> adquisición adecuados disponibles para apoyar el proceso de adquisición y garantizar el control de la calidad y el nivel correcto de responsabilidad.</w:t>
      </w:r>
    </w:p>
    <w:p w14:paraId="13ADED4C" w14:textId="77777777" w:rsidR="00975E2E" w:rsidRDefault="00975E2E" w:rsidP="00E45812">
      <w:pPr>
        <w:pStyle w:val="LO-normal"/>
        <w:spacing w:line="300" w:lineRule="exact"/>
        <w:ind w:left="567" w:hanging="425"/>
        <w:jc w:val="both"/>
        <w:rPr>
          <w:rFonts w:ascii="Arial" w:eastAsia="Arial" w:hAnsi="Arial" w:cs="Arial"/>
          <w:color w:val="000000"/>
          <w:sz w:val="24"/>
        </w:rPr>
      </w:pPr>
    </w:p>
    <w:p w14:paraId="12753183" w14:textId="77777777" w:rsidR="00975E2E" w:rsidRDefault="00524696" w:rsidP="00E45812">
      <w:pPr>
        <w:pStyle w:val="Heading3"/>
        <w:spacing w:line="300" w:lineRule="exact"/>
        <w:jc w:val="both"/>
      </w:pPr>
      <w:r>
        <w:t xml:space="preserve">3.4.2. </w:t>
      </w:r>
      <w:r>
        <w:tab/>
        <w:t>Delegar autoridad de manera excepcional a las oficinas de grupo o de país para aumentar el umbra</w:t>
      </w:r>
      <w:r>
        <w:t xml:space="preserve">l de CHF 1 000 a CHF 5 000 para un proceso de oferta única para la adquisición de EPP y equipo médico, de conformidad con la sección 3 de las Directivas de adquisición </w:t>
      </w:r>
      <w:proofErr w:type="spellStart"/>
      <w:r>
        <w:t>n.°</w:t>
      </w:r>
      <w:proofErr w:type="spellEnd"/>
      <w:r>
        <w:t xml:space="preserve"> 240 emitidas en noviembre de 2018.</w:t>
      </w:r>
    </w:p>
    <w:p w14:paraId="34F92B35" w14:textId="77777777" w:rsidR="00975E2E" w:rsidRDefault="00524696" w:rsidP="00E45812">
      <w:pPr>
        <w:pStyle w:val="Heading1"/>
        <w:spacing w:line="300" w:lineRule="exact"/>
        <w:jc w:val="both"/>
      </w:pPr>
      <w:r>
        <w:t>4.</w:t>
      </w:r>
      <w:r>
        <w:tab/>
      </w:r>
      <w:r>
        <w:t xml:space="preserve">Procedimientos de adquisición  </w:t>
      </w:r>
    </w:p>
    <w:p w14:paraId="55FB6812" w14:textId="77777777" w:rsidR="00975E2E" w:rsidRDefault="00975E2E" w:rsidP="00E45812">
      <w:pPr>
        <w:pStyle w:val="LO-normal"/>
        <w:spacing w:line="300" w:lineRule="exact"/>
        <w:ind w:left="709" w:hanging="567"/>
        <w:jc w:val="both"/>
        <w:rPr>
          <w:rFonts w:ascii="Arial" w:eastAsia="Arial" w:hAnsi="Arial" w:cs="Arial"/>
          <w:color w:val="000000"/>
          <w:sz w:val="24"/>
        </w:rPr>
      </w:pPr>
    </w:p>
    <w:p w14:paraId="28D44FE2" w14:textId="77777777" w:rsidR="00975E2E" w:rsidRDefault="00524696" w:rsidP="00E45812">
      <w:pPr>
        <w:pStyle w:val="Heading2"/>
        <w:spacing w:line="300" w:lineRule="exact"/>
        <w:jc w:val="both"/>
      </w:pPr>
      <w:r>
        <w:t>4.1. La adquisición de suministros para apoyar la respuesta a la Covid-19 se puede llevar a cabo en todos los niveles, es decir, nacional, regional y mundial, y se aplican los procedimientos de adquisición estándar de la FI</w:t>
      </w:r>
      <w:r>
        <w:t xml:space="preserve">CR, según el </w:t>
      </w:r>
      <w:hyperlink r:id="rId15">
        <w:r>
          <w:rPr>
            <w:b/>
            <w:i/>
            <w:color w:val="0000FF"/>
            <w:u w:val="single"/>
          </w:rPr>
          <w:t>Resumen de los niveles de autorización de adquisiciones</w:t>
        </w:r>
      </w:hyperlink>
      <w:r>
        <w:t>.</w:t>
      </w:r>
      <w:r>
        <w:t xml:space="preserve"> </w:t>
      </w:r>
    </w:p>
    <w:p w14:paraId="740966AB" w14:textId="77777777" w:rsidR="00975E2E" w:rsidRDefault="00975E2E" w:rsidP="00E45812">
      <w:pPr>
        <w:pStyle w:val="LO-normal"/>
        <w:spacing w:line="300" w:lineRule="exact"/>
        <w:ind w:left="709" w:hanging="567"/>
        <w:jc w:val="both"/>
        <w:rPr>
          <w:rFonts w:ascii="Arial" w:eastAsia="Arial" w:hAnsi="Arial" w:cs="Arial"/>
          <w:color w:val="000000"/>
          <w:sz w:val="24"/>
        </w:rPr>
      </w:pPr>
    </w:p>
    <w:p w14:paraId="564EDD67" w14:textId="6CAD2ECF" w:rsidR="00975E2E" w:rsidRDefault="00524696" w:rsidP="00E45812">
      <w:pPr>
        <w:pStyle w:val="Heading2"/>
        <w:spacing w:line="300" w:lineRule="exact"/>
        <w:jc w:val="both"/>
        <w:rPr>
          <w:color w:val="000000"/>
        </w:rPr>
      </w:pPr>
      <w:r>
        <w:t>4.2. El proceso de adquisición y los requisitos documentales mínimos serán los siguientes:</w:t>
      </w:r>
      <w:r w:rsidR="00E45812">
        <w:t xml:space="preserve"> </w:t>
      </w:r>
    </w:p>
    <w:p w14:paraId="3BDBE523" w14:textId="7DF25577" w:rsidR="00E45812" w:rsidRDefault="00E45812" w:rsidP="00E45812">
      <w:pPr>
        <w:pStyle w:val="LO-normal"/>
        <w:spacing w:line="300" w:lineRule="exact"/>
        <w:ind w:left="567" w:hanging="425"/>
        <w:jc w:val="both"/>
        <w:rPr>
          <w:rFonts w:ascii="Arial" w:eastAsia="Arial" w:hAnsi="Arial" w:cs="Arial"/>
          <w:color w:val="000000"/>
          <w:sz w:val="24"/>
        </w:rPr>
      </w:pPr>
    </w:p>
    <w:p w14:paraId="54C5A9B2" w14:textId="3E0BE80F" w:rsidR="00E45812" w:rsidRDefault="00E45812" w:rsidP="00E45812">
      <w:pPr>
        <w:pStyle w:val="LO-normal"/>
        <w:spacing w:line="300" w:lineRule="exact"/>
        <w:ind w:left="567" w:hanging="425"/>
        <w:jc w:val="both"/>
        <w:rPr>
          <w:rFonts w:ascii="Arial" w:eastAsia="Arial" w:hAnsi="Arial" w:cs="Arial"/>
          <w:color w:val="000000"/>
          <w:sz w:val="24"/>
        </w:rPr>
      </w:pPr>
    </w:p>
    <w:p w14:paraId="69D24B7B" w14:textId="77777777" w:rsidR="00E45812" w:rsidRDefault="00E45812" w:rsidP="00E45812">
      <w:pPr>
        <w:pStyle w:val="LO-normal"/>
        <w:spacing w:line="300" w:lineRule="exact"/>
        <w:ind w:left="567" w:hanging="425"/>
        <w:jc w:val="both"/>
        <w:rPr>
          <w:rFonts w:ascii="Arial" w:eastAsia="Arial" w:hAnsi="Arial" w:cs="Arial"/>
          <w:color w:val="000000"/>
          <w:sz w:val="24"/>
        </w:rPr>
      </w:pPr>
    </w:p>
    <w:p w14:paraId="2A909E9F" w14:textId="77777777" w:rsidR="00975E2E" w:rsidRDefault="00524696" w:rsidP="00E45812">
      <w:pPr>
        <w:pStyle w:val="Heading3"/>
        <w:spacing w:line="300" w:lineRule="exact"/>
        <w:jc w:val="both"/>
      </w:pPr>
      <w:r>
        <w:lastRenderedPageBreak/>
        <w:t>4</w:t>
      </w:r>
      <w:r>
        <w:t xml:space="preserve">.2.1. </w:t>
      </w:r>
      <w:r>
        <w:tab/>
        <w:t>Solicitud de logística aprobada por el director del proyecto, validada por finanzas y firmada por el solicitante.</w:t>
      </w:r>
    </w:p>
    <w:p w14:paraId="09220A50" w14:textId="77777777" w:rsidR="00975E2E" w:rsidRDefault="00524696" w:rsidP="00E45812">
      <w:pPr>
        <w:pStyle w:val="Heading3"/>
        <w:spacing w:line="300" w:lineRule="exact"/>
        <w:jc w:val="both"/>
      </w:pPr>
      <w:r>
        <w:t xml:space="preserve">4.2.2. </w:t>
      </w:r>
      <w:r>
        <w:tab/>
      </w:r>
      <w:r>
        <w:t>La solicitud de cotización se enviará como mínimo a tres posibles proveedores. La comunicación de los requisitos de licitación a los proveedores por correo electrónico puede aceptarse de manera excepcional. El período de licitación se puede acortar a 24 ho</w:t>
      </w:r>
      <w:r>
        <w:t xml:space="preserve">ras y, en tal caso, después de la publicación de la licitación, se recomienda encarecidamente llamar de inmediato a los proveedores invitados a presentar una oferta y asegurarse de que reciban los documentos de la licitación. </w:t>
      </w:r>
    </w:p>
    <w:p w14:paraId="79F25CA6" w14:textId="77777777" w:rsidR="00975E2E" w:rsidRDefault="00524696" w:rsidP="00E45812">
      <w:pPr>
        <w:pStyle w:val="Heading3"/>
        <w:spacing w:line="300" w:lineRule="exact"/>
        <w:jc w:val="both"/>
      </w:pPr>
      <w:r>
        <w:t>4.2.3.</w:t>
      </w:r>
      <w:r>
        <w:tab/>
        <w:t xml:space="preserve">Recepción de ofertas, </w:t>
      </w:r>
      <w:r>
        <w:t>evaluación y preparación del análisis comparativo de ofertas (CBA, por sus siglas en inglés) con una recomendación. El CBA debe ser firmado por el oficial de compras y aprobado por el jefe de oficina u otras personas autorizadas, según corresponda. La conf</w:t>
      </w:r>
      <w:r>
        <w:t>irmación de aprobación por correo electrónico puede aceptarse excepcionalmente.</w:t>
      </w:r>
    </w:p>
    <w:p w14:paraId="61D95858" w14:textId="77777777" w:rsidR="00975E2E" w:rsidRDefault="00524696" w:rsidP="00E45812">
      <w:pPr>
        <w:pStyle w:val="Heading3"/>
        <w:spacing w:line="300" w:lineRule="exact"/>
        <w:jc w:val="both"/>
      </w:pPr>
      <w:r>
        <w:t>4.2.4.</w:t>
      </w:r>
      <w:r>
        <w:tab/>
        <w:t>Orden de compra y contrato. La delegación de autoridad por correo electrónico se puede conceder de manera excepcional para aprobar órdenes de compra o firmar contratos.</w:t>
      </w:r>
    </w:p>
    <w:p w14:paraId="6A1F148A" w14:textId="77777777" w:rsidR="00975E2E" w:rsidRDefault="00524696" w:rsidP="00E45812">
      <w:pPr>
        <w:pStyle w:val="Heading3"/>
        <w:spacing w:line="300" w:lineRule="exact"/>
        <w:jc w:val="both"/>
      </w:pPr>
      <w:r>
        <w:t>4.2.5.</w:t>
      </w:r>
      <w:r>
        <w:tab/>
        <w:t>Para adquisiciones superiores a CHF 50 000, se deben obtener las aprobaciones necesarias y se debe contactar con la unidad de LPSCM operativa regional correspondiente. Las aprobaciones técnicas de adquisiciones y del Comité de contratos se otorgarán</w:t>
      </w:r>
      <w:r>
        <w:t xml:space="preserve"> en menos de 24 horas.</w:t>
      </w:r>
    </w:p>
    <w:p w14:paraId="4563D38A" w14:textId="77777777" w:rsidR="00975E2E" w:rsidRDefault="00524696" w:rsidP="00E45812">
      <w:pPr>
        <w:pStyle w:val="Heading3"/>
        <w:spacing w:line="300" w:lineRule="exact"/>
        <w:jc w:val="both"/>
      </w:pPr>
      <w:r>
        <w:t>4.2.6.</w:t>
      </w:r>
      <w:r>
        <w:tab/>
        <w:t>Las condiciones de pago estándar de la FICR, es decir, el pago al proveedor dentro de los 30 días posteriores a la recepción satisfactoria de los bienes o servicios y toda la documentación de apoyo requerida, permanecen sin ca</w:t>
      </w:r>
      <w:r>
        <w:t>mbios. Para cualquier plazo de pago alternativo propuesto, se debe consultar al equipo financiero pertinente y obtener la aprobación.</w:t>
      </w:r>
    </w:p>
    <w:p w14:paraId="21B73412" w14:textId="77777777" w:rsidR="00975E2E" w:rsidRDefault="00975E2E" w:rsidP="00E45812">
      <w:pPr>
        <w:pStyle w:val="LO-normal"/>
        <w:spacing w:line="300" w:lineRule="exact"/>
        <w:ind w:left="709" w:hanging="567"/>
        <w:jc w:val="both"/>
        <w:rPr>
          <w:rFonts w:ascii="Arial" w:eastAsia="Arial" w:hAnsi="Arial" w:cs="Arial"/>
          <w:color w:val="000000"/>
          <w:sz w:val="24"/>
        </w:rPr>
      </w:pPr>
    </w:p>
    <w:p w14:paraId="0C554F57" w14:textId="77777777" w:rsidR="00975E2E" w:rsidRDefault="00524696" w:rsidP="00E45812">
      <w:pPr>
        <w:pStyle w:val="Heading2"/>
        <w:spacing w:line="300" w:lineRule="exact"/>
        <w:jc w:val="both"/>
      </w:pPr>
      <w:r>
        <w:t>4.3. Cuando no sea práctico realizar un proceso de licitación, puede solicitarse al director de LPSCM una aprobación exce</w:t>
      </w:r>
      <w:r>
        <w:t xml:space="preserve">pcional según lo dispuesto en la sección 2.7 del manual de adquisiciones de la FICR. Cada solicitud excepcional debe ser documentada y aprobada por escrito. La unidad de LPSCM operativa regional apoyará el procesamiento de tales solicitudes excepcionales. </w:t>
      </w:r>
      <w:r>
        <w:t>Existe una modalidad de vía rápida (que se concederá en menos de 24 horas) para garantizar una cadena de suministro eficaz y eficiente.</w:t>
      </w:r>
    </w:p>
    <w:p w14:paraId="3FD163F1" w14:textId="77777777" w:rsidR="00975E2E" w:rsidRDefault="00524696" w:rsidP="00E45812">
      <w:pPr>
        <w:pStyle w:val="Heading1"/>
        <w:spacing w:line="300" w:lineRule="exact"/>
        <w:jc w:val="both"/>
      </w:pPr>
      <w:r>
        <w:t>5.</w:t>
      </w:r>
      <w:r>
        <w:tab/>
        <w:t>Especificaciones de los productos y control de la calidad</w:t>
      </w:r>
    </w:p>
    <w:p w14:paraId="5EF3FC40" w14:textId="77777777" w:rsidR="00975E2E" w:rsidRDefault="00975E2E" w:rsidP="00E45812">
      <w:pPr>
        <w:pStyle w:val="LO-normal"/>
        <w:spacing w:line="300" w:lineRule="exact"/>
        <w:ind w:left="567" w:hanging="425"/>
        <w:jc w:val="both"/>
        <w:rPr>
          <w:rFonts w:ascii="Arial" w:eastAsia="Arial" w:hAnsi="Arial" w:cs="Arial"/>
          <w:color w:val="000000"/>
          <w:sz w:val="24"/>
        </w:rPr>
      </w:pPr>
    </w:p>
    <w:p w14:paraId="51210C13" w14:textId="77777777" w:rsidR="00975E2E" w:rsidRDefault="00524696" w:rsidP="00E45812">
      <w:pPr>
        <w:pStyle w:val="LO-normal"/>
        <w:spacing w:line="300" w:lineRule="exact"/>
        <w:jc w:val="both"/>
      </w:pPr>
      <w:r>
        <w:rPr>
          <w:rFonts w:ascii="Arial" w:eastAsia="Arial" w:hAnsi="Arial" w:cs="Arial"/>
          <w:sz w:val="24"/>
        </w:rPr>
        <w:t>La FICR se compromete a cumplir con los estándares y norma</w:t>
      </w:r>
      <w:r>
        <w:rPr>
          <w:rFonts w:ascii="Arial" w:eastAsia="Arial" w:hAnsi="Arial" w:cs="Arial"/>
          <w:sz w:val="24"/>
        </w:rPr>
        <w:t xml:space="preserve">s establecidos por la OMS desarrollados para los </w:t>
      </w:r>
      <w:hyperlink r:id="rId16">
        <w:r>
          <w:rPr>
            <w:rFonts w:ascii="Arial" w:eastAsia="Arial" w:hAnsi="Arial" w:cs="Arial"/>
            <w:b/>
            <w:i/>
            <w:color w:val="0000FF"/>
            <w:sz w:val="24"/>
            <w:u w:val="single"/>
          </w:rPr>
          <w:t>suministros de EPP para la respuesta a la COVID-19</w:t>
        </w:r>
      </w:hyperlink>
      <w:r>
        <w:rPr>
          <w:rFonts w:ascii="Arial" w:eastAsia="Arial" w:hAnsi="Arial" w:cs="Arial"/>
          <w:sz w:val="24"/>
        </w:rPr>
        <w:t xml:space="preserve">. En caso de que no se puedan cumplir los criterios de calidad del producto (estándares y normas establecidos por la OMS), se </w:t>
      </w:r>
      <w:r>
        <w:rPr>
          <w:rFonts w:ascii="Arial" w:eastAsia="Arial" w:hAnsi="Arial" w:cs="Arial"/>
          <w:sz w:val="24"/>
        </w:rPr>
        <w:t xml:space="preserve">recomienda que los fabricantes de los productos sean validados por la Secretaría de Salud del país de destino. Si no es posible obtener una carta o una declaración de la Secretaría de Salud correspondiente, que confirme la validación de los fabricantes de </w:t>
      </w:r>
      <w:r>
        <w:rPr>
          <w:rFonts w:ascii="Arial" w:eastAsia="Arial" w:hAnsi="Arial" w:cs="Arial"/>
          <w:sz w:val="24"/>
        </w:rPr>
        <w:t>los productos, la máxima autoridad de la SN debe firmar una carta que confirme que (i) los fabricantes de los productos están validados por la Secretaría de Salud, (</w:t>
      </w:r>
      <w:proofErr w:type="spellStart"/>
      <w:r>
        <w:rPr>
          <w:rFonts w:ascii="Arial" w:eastAsia="Arial" w:hAnsi="Arial" w:cs="Arial"/>
          <w:sz w:val="24"/>
        </w:rPr>
        <w:t>ii</w:t>
      </w:r>
      <w:proofErr w:type="spellEnd"/>
      <w:r>
        <w:rPr>
          <w:rFonts w:ascii="Arial" w:eastAsia="Arial" w:hAnsi="Arial" w:cs="Arial"/>
          <w:sz w:val="24"/>
        </w:rPr>
        <w:t>) la SN es plenamente responsable de la conformidad de los productos y el control de cali</w:t>
      </w:r>
      <w:r>
        <w:rPr>
          <w:rFonts w:ascii="Arial" w:eastAsia="Arial" w:hAnsi="Arial" w:cs="Arial"/>
          <w:sz w:val="24"/>
        </w:rPr>
        <w:t>dad correspondiente y (</w:t>
      </w:r>
      <w:proofErr w:type="spellStart"/>
      <w:r>
        <w:rPr>
          <w:rFonts w:ascii="Arial" w:eastAsia="Arial" w:hAnsi="Arial" w:cs="Arial"/>
          <w:sz w:val="24"/>
        </w:rPr>
        <w:t>iii</w:t>
      </w:r>
      <w:proofErr w:type="spellEnd"/>
      <w:r>
        <w:rPr>
          <w:rFonts w:ascii="Arial" w:eastAsia="Arial" w:hAnsi="Arial" w:cs="Arial"/>
          <w:sz w:val="24"/>
        </w:rPr>
        <w:t xml:space="preserve">) la SN entiende que la FICR proporciona los productos como son, sin ninguna garantía de conformidad de las especificaciones técnicas con los requisitos </w:t>
      </w:r>
      <w:r>
        <w:rPr>
          <w:rFonts w:ascii="Arial" w:eastAsia="Arial" w:hAnsi="Arial" w:cs="Arial"/>
          <w:sz w:val="24"/>
        </w:rPr>
        <w:lastRenderedPageBreak/>
        <w:t>de la Secretaría de Salud y el control de la calidad. Además, las SN deben ma</w:t>
      </w:r>
      <w:r>
        <w:rPr>
          <w:rFonts w:ascii="Arial" w:eastAsia="Arial" w:hAnsi="Arial" w:cs="Arial"/>
          <w:sz w:val="24"/>
        </w:rPr>
        <w:t>ntener la documentación necesaria que respalde el proceso de adquisición, que debe formar parte de la pista de auditoría. El servicio sanitario y la logística médica de la FICR siguen estando disponibles para proporcionar recomendaciones y asesoramiento cu</w:t>
      </w:r>
      <w:r>
        <w:rPr>
          <w:rFonts w:ascii="Arial" w:eastAsia="Arial" w:hAnsi="Arial" w:cs="Arial"/>
          <w:sz w:val="24"/>
        </w:rPr>
        <w:t>ando sea necesario.</w:t>
      </w:r>
    </w:p>
    <w:p w14:paraId="7BD91329" w14:textId="77777777" w:rsidR="00975E2E" w:rsidRDefault="00524696" w:rsidP="00E45812">
      <w:pPr>
        <w:pStyle w:val="LO-normal"/>
        <w:spacing w:line="300" w:lineRule="exact"/>
        <w:jc w:val="both"/>
      </w:pPr>
      <w:r>
        <w:rPr>
          <w:rFonts w:ascii="Arial" w:eastAsia="Arial" w:hAnsi="Arial" w:cs="Arial"/>
          <w:sz w:val="24"/>
        </w:rPr>
        <w:t xml:space="preserve"> </w:t>
      </w:r>
    </w:p>
    <w:p w14:paraId="51C0F910" w14:textId="77777777" w:rsidR="00975E2E" w:rsidRDefault="00524696" w:rsidP="00E45812">
      <w:pPr>
        <w:pStyle w:val="LO-normal"/>
        <w:spacing w:line="300" w:lineRule="exact"/>
        <w:jc w:val="both"/>
        <w:rPr>
          <w:rFonts w:ascii="Arial" w:eastAsia="Arial" w:hAnsi="Arial" w:cs="Arial"/>
          <w:color w:val="000000"/>
          <w:sz w:val="24"/>
        </w:rPr>
      </w:pPr>
      <w:r>
        <w:rPr>
          <w:rFonts w:ascii="Arial" w:eastAsia="Arial" w:hAnsi="Arial" w:cs="Arial"/>
          <w:color w:val="000000"/>
          <w:sz w:val="24"/>
        </w:rPr>
        <w:t>Al adquirir suministros de EPP, además de los controles de diligencia debida estándar realizados para cualquier adquisición y la validación de la fuente de los bienes cuando se trata de comerciantes, dado que la certificación se emite</w:t>
      </w:r>
      <w:r>
        <w:rPr>
          <w:rFonts w:ascii="Arial" w:eastAsia="Arial" w:hAnsi="Arial" w:cs="Arial"/>
          <w:color w:val="000000"/>
          <w:sz w:val="24"/>
        </w:rPr>
        <w:t xml:space="preserve"> a fabricantes y no a comerciantes, es importante considerar los siguientes controles de calidad:</w:t>
      </w:r>
    </w:p>
    <w:p w14:paraId="731FCDAD" w14:textId="77777777" w:rsidR="00975E2E" w:rsidRDefault="00975E2E" w:rsidP="00E45812">
      <w:pPr>
        <w:pStyle w:val="LO-normal"/>
        <w:spacing w:line="300" w:lineRule="exact"/>
        <w:ind w:left="567" w:hanging="425"/>
        <w:jc w:val="both"/>
        <w:rPr>
          <w:rFonts w:ascii="Arial" w:eastAsia="Arial" w:hAnsi="Arial" w:cs="Arial"/>
          <w:color w:val="000000"/>
          <w:sz w:val="24"/>
        </w:rPr>
      </w:pPr>
    </w:p>
    <w:p w14:paraId="26225126" w14:textId="77777777" w:rsidR="00975E2E" w:rsidRDefault="00524696" w:rsidP="00E45812">
      <w:pPr>
        <w:pStyle w:val="Heading2"/>
        <w:spacing w:line="300" w:lineRule="exact"/>
        <w:jc w:val="both"/>
      </w:pPr>
      <w:r>
        <w:t>5.1. Durante el proceso de licitación</w:t>
      </w:r>
    </w:p>
    <w:p w14:paraId="0D8FD67B" w14:textId="77777777" w:rsidR="00975E2E" w:rsidRDefault="00975E2E" w:rsidP="00E45812">
      <w:pPr>
        <w:pStyle w:val="LO-normal"/>
        <w:spacing w:line="300" w:lineRule="exact"/>
        <w:ind w:left="567" w:hanging="425"/>
        <w:jc w:val="both"/>
        <w:rPr>
          <w:rFonts w:ascii="Arial" w:eastAsia="Arial" w:hAnsi="Arial" w:cs="Arial"/>
          <w:color w:val="000000"/>
          <w:sz w:val="24"/>
        </w:rPr>
      </w:pPr>
    </w:p>
    <w:p w14:paraId="6223DE96" w14:textId="77777777" w:rsidR="00975E2E" w:rsidRDefault="00524696" w:rsidP="00E45812">
      <w:pPr>
        <w:pStyle w:val="Heading3"/>
        <w:spacing w:line="300" w:lineRule="exact"/>
        <w:jc w:val="both"/>
      </w:pPr>
      <w:r>
        <w:t>5.1.1.</w:t>
      </w:r>
      <w:r>
        <w:tab/>
        <w:t>Requisitos documentales</w:t>
      </w:r>
    </w:p>
    <w:p w14:paraId="151EF949" w14:textId="77777777" w:rsidR="00975E2E" w:rsidRDefault="00524696" w:rsidP="00E45812">
      <w:pPr>
        <w:pStyle w:val="Heading3"/>
        <w:spacing w:line="300" w:lineRule="exact"/>
        <w:jc w:val="both"/>
      </w:pPr>
      <w:r>
        <w:t>5.1.2.</w:t>
      </w:r>
      <w:r>
        <w:tab/>
        <w:t>Revisar las ofertas de los proveedores</w:t>
      </w:r>
    </w:p>
    <w:p w14:paraId="604E225C" w14:textId="77777777" w:rsidR="00975E2E" w:rsidRDefault="00524696" w:rsidP="00E45812">
      <w:pPr>
        <w:pStyle w:val="Heading4"/>
        <w:spacing w:line="300" w:lineRule="exact"/>
        <w:jc w:val="both"/>
      </w:pPr>
      <w:r>
        <w:t>5.1.2.1.</w:t>
      </w:r>
      <w:r>
        <w:tab/>
        <w:t>Verificar las especificaciones d</w:t>
      </w:r>
      <w:r>
        <w:t>el producto ofrecido de acuerdo con las especificaciones acordadas.</w:t>
      </w:r>
    </w:p>
    <w:p w14:paraId="30891025" w14:textId="77777777" w:rsidR="00975E2E" w:rsidRDefault="00524696" w:rsidP="00E45812">
      <w:pPr>
        <w:pStyle w:val="Heading4"/>
        <w:spacing w:line="300" w:lineRule="exact"/>
        <w:jc w:val="both"/>
      </w:pPr>
      <w:r>
        <w:t>5.1.2.2.</w:t>
      </w:r>
      <w:r>
        <w:tab/>
        <w:t>Verificar el estándar del producto que se ofrece de acuerdo con los estándares acordados.</w:t>
      </w:r>
    </w:p>
    <w:p w14:paraId="153D246D" w14:textId="77777777" w:rsidR="00975E2E" w:rsidRDefault="00524696" w:rsidP="00E45812">
      <w:pPr>
        <w:pStyle w:val="Heading4"/>
        <w:spacing w:line="300" w:lineRule="exact"/>
        <w:jc w:val="both"/>
      </w:pPr>
      <w:r>
        <w:t>5.1.2.3.</w:t>
      </w:r>
      <w:r>
        <w:tab/>
        <w:t xml:space="preserve">Verificar el ámbito de los certificados e informes de prueba </w:t>
      </w:r>
      <w:r>
        <w:t>proporcionados por los proveedores (por ejemplo, revisión de documentos técnicos, certificación interna, certificación CE, etc.).</w:t>
      </w:r>
    </w:p>
    <w:p w14:paraId="65AB19ED" w14:textId="77777777" w:rsidR="00975E2E" w:rsidRDefault="00524696" w:rsidP="00E45812">
      <w:pPr>
        <w:pStyle w:val="Heading4"/>
        <w:spacing w:line="300" w:lineRule="exact"/>
        <w:jc w:val="both"/>
      </w:pPr>
      <w:r>
        <w:t>5.1.2.4.</w:t>
      </w:r>
      <w:r>
        <w:tab/>
        <w:t>Verificar el estándar de los certificados e informes de pruebas de conformidad con el estándar acordado para el artíc</w:t>
      </w:r>
      <w:r>
        <w:t>ulo (por ejemplo, EN 149).</w:t>
      </w:r>
    </w:p>
    <w:p w14:paraId="700E7901" w14:textId="77777777" w:rsidR="00975E2E" w:rsidRDefault="00524696" w:rsidP="00E45812">
      <w:pPr>
        <w:pStyle w:val="Heading4"/>
        <w:spacing w:line="300" w:lineRule="exact"/>
        <w:jc w:val="both"/>
      </w:pPr>
      <w:r>
        <w:t>5.1.2.5.</w:t>
      </w:r>
      <w:r>
        <w:tab/>
        <w:t>Verificar si el producto ofrecido está cubierto por el informe de prueba o certificado, el número de modelo si está disponible, de lo contrario, la descripción genérica (por ejemplo, máscara quirúrgica).</w:t>
      </w:r>
    </w:p>
    <w:p w14:paraId="76450862" w14:textId="77777777" w:rsidR="00975E2E" w:rsidRDefault="00524696" w:rsidP="00E45812">
      <w:pPr>
        <w:pStyle w:val="Heading4"/>
        <w:spacing w:line="300" w:lineRule="exact"/>
        <w:jc w:val="both"/>
      </w:pPr>
      <w:r>
        <w:t>5.1.2.6.</w:t>
      </w:r>
      <w:r>
        <w:tab/>
        <w:t>Validar</w:t>
      </w:r>
      <w:r>
        <w:t xml:space="preserve"> el certificado con el organismo u organización emisores.</w:t>
      </w:r>
    </w:p>
    <w:p w14:paraId="515F7C87" w14:textId="77777777" w:rsidR="00975E2E" w:rsidRDefault="00524696" w:rsidP="00E45812">
      <w:pPr>
        <w:pStyle w:val="Heading4"/>
        <w:spacing w:line="300" w:lineRule="exact"/>
        <w:jc w:val="both"/>
      </w:pPr>
      <w:r>
        <w:t>5.1.2.7.</w:t>
      </w:r>
      <w:r>
        <w:tab/>
        <w:t>Verificar el etiquetado en el embalaje y/o producto de acuerdo con la certificación.</w:t>
      </w:r>
    </w:p>
    <w:p w14:paraId="57393AA8" w14:textId="77777777" w:rsidR="00975E2E" w:rsidRDefault="00524696" w:rsidP="00E45812">
      <w:pPr>
        <w:pStyle w:val="Heading4"/>
        <w:spacing w:line="300" w:lineRule="exact"/>
        <w:jc w:val="both"/>
      </w:pPr>
      <w:r>
        <w:t>5.1.2.8.</w:t>
      </w:r>
      <w:r>
        <w:tab/>
        <w:t>Para NIOSH, verificar si el fabricante figura en la lista aprobada por NIOSH.</w:t>
      </w:r>
    </w:p>
    <w:p w14:paraId="498C2349" w14:textId="77777777" w:rsidR="00975E2E" w:rsidRDefault="00524696" w:rsidP="00E45812">
      <w:pPr>
        <w:pStyle w:val="Heading4"/>
        <w:spacing w:line="300" w:lineRule="exact"/>
        <w:jc w:val="both"/>
      </w:pPr>
      <w:r>
        <w:t>5.1.2.9.</w:t>
      </w:r>
      <w:r>
        <w:tab/>
        <w:t xml:space="preserve">Para la </w:t>
      </w:r>
      <w:r>
        <w:t>CE, verificar si el organismo notificado vinculado al certificado se encuentra en la lista de organismos notificados de la CE para la directiva apropiada (médico, EPP, etc.).</w:t>
      </w:r>
    </w:p>
    <w:p w14:paraId="203282B6" w14:textId="77777777" w:rsidR="00975E2E" w:rsidRDefault="00975E2E" w:rsidP="00E45812">
      <w:pPr>
        <w:pStyle w:val="LO-normal"/>
        <w:spacing w:line="300" w:lineRule="exact"/>
        <w:ind w:left="567" w:hanging="425"/>
        <w:jc w:val="both"/>
        <w:rPr>
          <w:rFonts w:ascii="Arial" w:eastAsia="Arial" w:hAnsi="Arial" w:cs="Arial"/>
          <w:color w:val="000000"/>
          <w:sz w:val="24"/>
        </w:rPr>
      </w:pPr>
    </w:p>
    <w:p w14:paraId="4CCD35C4" w14:textId="77777777" w:rsidR="00975E2E" w:rsidRDefault="00524696" w:rsidP="00E45812">
      <w:pPr>
        <w:pStyle w:val="Heading3"/>
        <w:spacing w:line="300" w:lineRule="exact"/>
        <w:jc w:val="both"/>
      </w:pPr>
      <w:r>
        <w:t>5.1.3.</w:t>
      </w:r>
      <w:r>
        <w:tab/>
        <w:t>Documentación de registro de los proveedores y documentación de apoyo</w:t>
      </w:r>
    </w:p>
    <w:p w14:paraId="77947C23" w14:textId="77777777" w:rsidR="00975E2E" w:rsidRDefault="00975E2E" w:rsidP="00E45812">
      <w:pPr>
        <w:pStyle w:val="LO-normal"/>
        <w:spacing w:line="300" w:lineRule="exact"/>
        <w:ind w:left="567" w:hanging="425"/>
        <w:jc w:val="both"/>
        <w:rPr>
          <w:rFonts w:ascii="Arial" w:eastAsia="Arial" w:hAnsi="Arial" w:cs="Arial"/>
          <w:color w:val="000000"/>
          <w:sz w:val="24"/>
        </w:rPr>
      </w:pPr>
    </w:p>
    <w:p w14:paraId="166B460D" w14:textId="77777777" w:rsidR="00975E2E" w:rsidRDefault="00524696" w:rsidP="00E45812">
      <w:pPr>
        <w:pStyle w:val="Heading2"/>
        <w:spacing w:line="300" w:lineRule="exact"/>
        <w:jc w:val="both"/>
      </w:pPr>
      <w:r>
        <w:t>5.</w:t>
      </w:r>
      <w:r>
        <w:t xml:space="preserve">2. Al recibir los suministros </w:t>
      </w:r>
    </w:p>
    <w:p w14:paraId="2C6B139A" w14:textId="77777777" w:rsidR="00975E2E" w:rsidRDefault="00975E2E" w:rsidP="00E45812">
      <w:pPr>
        <w:pStyle w:val="LO-normal"/>
        <w:spacing w:line="300" w:lineRule="exact"/>
        <w:ind w:left="567" w:hanging="425"/>
        <w:jc w:val="both"/>
        <w:rPr>
          <w:rFonts w:ascii="Arial" w:eastAsia="Arial" w:hAnsi="Arial" w:cs="Arial"/>
          <w:color w:val="000000"/>
          <w:sz w:val="24"/>
        </w:rPr>
      </w:pPr>
    </w:p>
    <w:p w14:paraId="22DBBB3C" w14:textId="77777777" w:rsidR="00975E2E" w:rsidRDefault="00524696" w:rsidP="00E45812">
      <w:pPr>
        <w:pStyle w:val="Heading3"/>
        <w:spacing w:line="300" w:lineRule="exact"/>
        <w:jc w:val="both"/>
      </w:pPr>
      <w:r>
        <w:t>5.2.1.</w:t>
      </w:r>
      <w:r>
        <w:tab/>
      </w:r>
      <w:r>
        <w:rPr>
          <w:u w:val="single"/>
        </w:rPr>
        <w:t>Requisitos documentales</w:t>
      </w:r>
      <w:r>
        <w:t xml:space="preserve"> </w:t>
      </w:r>
    </w:p>
    <w:p w14:paraId="62AAC0CA" w14:textId="77777777" w:rsidR="00975E2E" w:rsidRDefault="00524696" w:rsidP="00E45812">
      <w:pPr>
        <w:pStyle w:val="Heading4"/>
        <w:spacing w:line="300" w:lineRule="exact"/>
        <w:jc w:val="both"/>
      </w:pPr>
      <w:r>
        <w:t>5.2.1.1.</w:t>
      </w:r>
      <w:r>
        <w:tab/>
        <w:t>Copia de los documentos de certificación</w:t>
      </w:r>
    </w:p>
    <w:p w14:paraId="4BB2F6F9" w14:textId="77777777" w:rsidR="00975E2E" w:rsidRDefault="00524696" w:rsidP="00E45812">
      <w:pPr>
        <w:pStyle w:val="Heading4"/>
        <w:spacing w:line="300" w:lineRule="exact"/>
        <w:jc w:val="both"/>
      </w:pPr>
      <w:r>
        <w:t>5.2.1.2.</w:t>
      </w:r>
      <w:r>
        <w:tab/>
        <w:t>Lista de embalaje y hoja de ruta</w:t>
      </w:r>
    </w:p>
    <w:p w14:paraId="2BB99662" w14:textId="77777777" w:rsidR="00975E2E" w:rsidRDefault="00524696" w:rsidP="00E45812">
      <w:pPr>
        <w:pStyle w:val="Heading4"/>
        <w:spacing w:line="300" w:lineRule="exact"/>
        <w:jc w:val="both"/>
      </w:pPr>
      <w:r>
        <w:t>5.2.1.3.</w:t>
      </w:r>
      <w:r>
        <w:tab/>
        <w:t>Factura proforma</w:t>
      </w:r>
    </w:p>
    <w:p w14:paraId="09CB04F9" w14:textId="77777777" w:rsidR="00975E2E" w:rsidRDefault="00524696" w:rsidP="00E45812">
      <w:pPr>
        <w:pStyle w:val="Heading4"/>
        <w:spacing w:line="300" w:lineRule="exact"/>
        <w:jc w:val="both"/>
      </w:pPr>
      <w:r>
        <w:t>5.2.1.4.</w:t>
      </w:r>
      <w:r>
        <w:tab/>
        <w:t>Certificado de donaciones</w:t>
      </w:r>
    </w:p>
    <w:p w14:paraId="4C8A6FFD" w14:textId="77777777" w:rsidR="00975E2E" w:rsidRDefault="00975E2E" w:rsidP="00E45812">
      <w:pPr>
        <w:pStyle w:val="LO-normal"/>
        <w:spacing w:line="300" w:lineRule="exact"/>
        <w:ind w:left="567" w:hanging="425"/>
        <w:jc w:val="both"/>
        <w:rPr>
          <w:rFonts w:ascii="Arial" w:eastAsia="Arial" w:hAnsi="Arial" w:cs="Arial"/>
          <w:color w:val="000000"/>
          <w:sz w:val="24"/>
        </w:rPr>
      </w:pPr>
    </w:p>
    <w:p w14:paraId="75F72B34" w14:textId="77777777" w:rsidR="00975E2E" w:rsidRDefault="00524696" w:rsidP="00E45812">
      <w:pPr>
        <w:pStyle w:val="Heading3"/>
        <w:spacing w:line="300" w:lineRule="exact"/>
        <w:jc w:val="both"/>
      </w:pPr>
      <w:r>
        <w:lastRenderedPageBreak/>
        <w:t xml:space="preserve">5.2.2. </w:t>
      </w:r>
      <w:r>
        <w:rPr>
          <w:u w:val="single"/>
        </w:rPr>
        <w:t xml:space="preserve">Recuento físico de </w:t>
      </w:r>
      <w:r>
        <w:rPr>
          <w:u w:val="single"/>
        </w:rPr>
        <w:t>suministros</w:t>
      </w:r>
      <w:r>
        <w:t xml:space="preserve"> </w:t>
      </w:r>
    </w:p>
    <w:p w14:paraId="2641521E" w14:textId="77777777" w:rsidR="00975E2E" w:rsidRDefault="00524696" w:rsidP="00E45812">
      <w:pPr>
        <w:pStyle w:val="Heading4"/>
        <w:spacing w:line="300" w:lineRule="exact"/>
        <w:jc w:val="both"/>
      </w:pPr>
      <w:r>
        <w:t>5.2.2.1.</w:t>
      </w:r>
      <w:r>
        <w:tab/>
        <w:t>Comparar el número de cartones con los que figuran en la hoja de ruta.</w:t>
      </w:r>
    </w:p>
    <w:p w14:paraId="32F815DA" w14:textId="77777777" w:rsidR="00975E2E" w:rsidRDefault="00524696" w:rsidP="00E45812">
      <w:pPr>
        <w:pStyle w:val="Heading4"/>
        <w:spacing w:line="300" w:lineRule="exact"/>
        <w:jc w:val="both"/>
      </w:pPr>
      <w:r>
        <w:t>5.2.2.2.</w:t>
      </w:r>
      <w:r>
        <w:tab/>
        <w:t>Revisar los cartones para ver si hay daños y/o signos de manipulación visibles (sellos o correas faltantes o rotos).</w:t>
      </w:r>
    </w:p>
    <w:p w14:paraId="726B1493" w14:textId="77777777" w:rsidR="00975E2E" w:rsidRDefault="00524696" w:rsidP="00E45812">
      <w:pPr>
        <w:pStyle w:val="Heading4"/>
        <w:spacing w:line="300" w:lineRule="exact"/>
        <w:jc w:val="both"/>
      </w:pPr>
      <w:r>
        <w:t>5.2.2.3.</w:t>
      </w:r>
      <w:r>
        <w:tab/>
        <w:t>Comparar el tipo y las canti</w:t>
      </w:r>
      <w:r>
        <w:t>dades de artículos con las listas de embalaje.</w:t>
      </w:r>
    </w:p>
    <w:p w14:paraId="11013714" w14:textId="77777777" w:rsidR="00975E2E" w:rsidRDefault="00975E2E" w:rsidP="00E45812">
      <w:pPr>
        <w:pStyle w:val="LO-normal"/>
        <w:spacing w:line="300" w:lineRule="exact"/>
        <w:ind w:left="567" w:hanging="425"/>
        <w:jc w:val="both"/>
        <w:rPr>
          <w:rFonts w:ascii="Arial" w:eastAsia="Arial" w:hAnsi="Arial" w:cs="Arial"/>
          <w:color w:val="000000"/>
          <w:sz w:val="24"/>
        </w:rPr>
      </w:pPr>
    </w:p>
    <w:p w14:paraId="76AAAE7D" w14:textId="77777777" w:rsidR="00975E2E" w:rsidRDefault="00524696" w:rsidP="00E45812">
      <w:pPr>
        <w:pStyle w:val="Heading3"/>
        <w:spacing w:line="300" w:lineRule="exact"/>
        <w:jc w:val="both"/>
        <w:rPr>
          <w:b/>
        </w:rPr>
      </w:pPr>
      <w:r>
        <w:t xml:space="preserve">5.2.3. </w:t>
      </w:r>
      <w:r>
        <w:rPr>
          <w:u w:val="single"/>
        </w:rPr>
        <w:t>Inspección visual</w:t>
      </w:r>
      <w:r>
        <w:t xml:space="preserve"> </w:t>
      </w:r>
    </w:p>
    <w:p w14:paraId="0CF4E268" w14:textId="77777777" w:rsidR="00975E2E" w:rsidRDefault="00524696" w:rsidP="00E45812">
      <w:pPr>
        <w:pStyle w:val="LO-normal"/>
        <w:spacing w:after="120" w:line="300" w:lineRule="exact"/>
        <w:jc w:val="both"/>
        <w:rPr>
          <w:rFonts w:ascii="Arial" w:eastAsia="Arial" w:hAnsi="Arial" w:cs="Arial"/>
          <w:sz w:val="24"/>
        </w:rPr>
      </w:pPr>
      <w:r>
        <w:rPr>
          <w:noProof/>
        </w:rPr>
        <w:drawing>
          <wp:anchor distT="0" distB="0" distL="114300" distR="114300" simplePos="0" relativeHeight="3" behindDoc="0" locked="0" layoutInCell="1" allowOverlap="1" wp14:anchorId="489E5813" wp14:editId="7DA5B561">
            <wp:simplePos x="0" y="0"/>
            <wp:positionH relativeFrom="column">
              <wp:posOffset>4061460</wp:posOffset>
            </wp:positionH>
            <wp:positionV relativeFrom="paragraph">
              <wp:posOffset>284480</wp:posOffset>
            </wp:positionV>
            <wp:extent cx="2152650" cy="2428875"/>
            <wp:effectExtent l="0" t="0" r="0" b="0"/>
            <wp:wrapSquare wrapText="bothSides"/>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png"/>
                    <pic:cNvPicPr>
                      <a:picLocks noChangeAspect="1" noChangeArrowheads="1"/>
                    </pic:cNvPicPr>
                  </pic:nvPicPr>
                  <pic:blipFill>
                    <a:blip r:embed="rId17"/>
                    <a:stretch>
                      <a:fillRect/>
                    </a:stretch>
                  </pic:blipFill>
                  <pic:spPr bwMode="auto">
                    <a:xfrm>
                      <a:off x="0" y="0"/>
                      <a:ext cx="2152650" cy="2428875"/>
                    </a:xfrm>
                    <a:prstGeom prst="rect">
                      <a:avLst/>
                    </a:prstGeom>
                  </pic:spPr>
                </pic:pic>
              </a:graphicData>
            </a:graphic>
          </wp:anchor>
        </w:drawing>
      </w:r>
      <w:r>
        <w:rPr>
          <w:rFonts w:ascii="Arial" w:eastAsia="Arial" w:hAnsi="Arial" w:cs="Arial"/>
          <w:sz w:val="24"/>
        </w:rPr>
        <w:t>Consultar la orden de compra y la oferta del proveedor para obtener detalles sobre las especificaciones y el estándar acordados con el proveedor, ya que pueden diferir de la lista d</w:t>
      </w:r>
      <w:r>
        <w:rPr>
          <w:rFonts w:ascii="Arial" w:eastAsia="Arial" w:hAnsi="Arial" w:cs="Arial"/>
          <w:sz w:val="24"/>
        </w:rPr>
        <w:t xml:space="preserve">e especificaciones estándar. Para el muestreo de la partida para su inspección, se recomienda consultar el cuadro 1 y realizar los siguientes controles: </w:t>
      </w:r>
    </w:p>
    <w:p w14:paraId="299E5FF6" w14:textId="77777777" w:rsidR="00975E2E" w:rsidRDefault="00524696" w:rsidP="00E45812">
      <w:pPr>
        <w:pStyle w:val="Heading4"/>
        <w:spacing w:line="300" w:lineRule="exact"/>
        <w:jc w:val="both"/>
      </w:pPr>
      <w:r>
        <w:t xml:space="preserve">5.2.3.1. </w:t>
      </w:r>
      <w:r>
        <w:tab/>
        <w:t>Controlar que las cantidades por cartón y por caja sean correctas.</w:t>
      </w:r>
    </w:p>
    <w:p w14:paraId="3BD43257" w14:textId="77777777" w:rsidR="00975E2E" w:rsidRDefault="00524696" w:rsidP="00E45812">
      <w:pPr>
        <w:pStyle w:val="Heading4"/>
        <w:spacing w:line="300" w:lineRule="exact"/>
        <w:jc w:val="both"/>
      </w:pPr>
      <w:r>
        <w:t xml:space="preserve">5.2.3.2. </w:t>
      </w:r>
      <w:r>
        <w:tab/>
        <w:t xml:space="preserve">El </w:t>
      </w:r>
      <w:r>
        <w:t>etiquetado del producto de acuerdo con la certificación, es decir, el marcado CE, debe aparecer en la caja o bolsa.</w:t>
      </w:r>
    </w:p>
    <w:p w14:paraId="569C0281" w14:textId="77777777" w:rsidR="00975E2E" w:rsidRDefault="00524696" w:rsidP="00E45812">
      <w:pPr>
        <w:pStyle w:val="Heading4"/>
        <w:spacing w:line="300" w:lineRule="exact"/>
        <w:jc w:val="both"/>
      </w:pPr>
      <w:r>
        <w:rPr>
          <w:noProof/>
        </w:rPr>
        <mc:AlternateContent>
          <mc:Choice Requires="wps">
            <w:drawing>
              <wp:anchor distT="0" distB="0" distL="0" distR="0" simplePos="0" relativeHeight="2" behindDoc="0" locked="0" layoutInCell="1" allowOverlap="1" wp14:anchorId="592C3A54" wp14:editId="10C69E88">
                <wp:simplePos x="0" y="0"/>
                <wp:positionH relativeFrom="column">
                  <wp:posOffset>5689600</wp:posOffset>
                </wp:positionH>
                <wp:positionV relativeFrom="paragraph">
                  <wp:posOffset>350520</wp:posOffset>
                </wp:positionV>
                <wp:extent cx="967105" cy="774065"/>
                <wp:effectExtent l="0" t="0" r="0" b="0"/>
                <wp:wrapNone/>
                <wp:docPr id="6" name="Image1"/>
                <wp:cNvGraphicFramePr/>
                <a:graphic xmlns:a="http://schemas.openxmlformats.org/drawingml/2006/main">
                  <a:graphicData uri="http://schemas.microsoft.com/office/word/2010/wordprocessingShape">
                    <wps:wsp>
                      <wps:cNvSpPr/>
                      <wps:spPr>
                        <a:xfrm>
                          <a:off x="0" y="0"/>
                          <a:ext cx="966600" cy="77328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Image1" stroked="f" style="position:absolute;margin-left:448pt;margin-top:27.6pt;width:76.05pt;height:60.85pt">
                <w10:wrap type="none"/>
                <v:fill o:detectmouseclick="t" on="false"/>
                <v:stroke color="#3465a4" joinstyle="round" endcap="flat"/>
              </v:rect>
            </w:pict>
          </mc:Fallback>
        </mc:AlternateContent>
      </w:r>
      <w:r>
        <w:t xml:space="preserve">5.2.3.3. </w:t>
      </w:r>
      <w:r>
        <w:tab/>
        <w:t>Máscaras de respiración: la marca FDA / EN 149 / NIOSH debe aparecer en la caja y en el artículo.</w:t>
      </w:r>
    </w:p>
    <w:p w14:paraId="3A18F2F8" w14:textId="77777777" w:rsidR="00975E2E" w:rsidRDefault="00524696" w:rsidP="00E45812">
      <w:pPr>
        <w:pStyle w:val="Heading4"/>
        <w:spacing w:line="300" w:lineRule="exact"/>
        <w:jc w:val="both"/>
      </w:pPr>
      <w:r>
        <w:rPr>
          <w:noProof/>
        </w:rPr>
        <mc:AlternateContent>
          <mc:Choice Requires="wps">
            <w:drawing>
              <wp:anchor distT="0" distB="0" distL="0" distR="0" simplePos="0" relativeHeight="5" behindDoc="0" locked="0" layoutInCell="1" allowOverlap="1" wp14:anchorId="2EBC7E1B" wp14:editId="103E9C37">
                <wp:simplePos x="0" y="0"/>
                <wp:positionH relativeFrom="column">
                  <wp:posOffset>5689600</wp:posOffset>
                </wp:positionH>
                <wp:positionV relativeFrom="paragraph">
                  <wp:posOffset>-213360</wp:posOffset>
                </wp:positionV>
                <wp:extent cx="967105" cy="774065"/>
                <wp:effectExtent l="0" t="0" r="0" b="0"/>
                <wp:wrapNone/>
                <wp:docPr id="7" name="Frame1"/>
                <wp:cNvGraphicFramePr/>
                <a:graphic xmlns:a="http://schemas.openxmlformats.org/drawingml/2006/main">
                  <a:graphicData uri="http://schemas.microsoft.com/office/word/2010/wordprocessingShape">
                    <wps:wsp>
                      <wps:cNvSpPr/>
                      <wps:spPr>
                        <a:xfrm>
                          <a:off x="0" y="0"/>
                          <a:ext cx="966600" cy="773280"/>
                        </a:xfrm>
                        <a:prstGeom prst="rect">
                          <a:avLst/>
                        </a:prstGeom>
                        <a:noFill/>
                        <a:ln>
                          <a:noFill/>
                        </a:ln>
                      </wps:spPr>
                      <wps:style>
                        <a:lnRef idx="0">
                          <a:scrgbClr r="0" g="0" b="0"/>
                        </a:lnRef>
                        <a:fillRef idx="0">
                          <a:scrgbClr r="0" g="0" b="0"/>
                        </a:fillRef>
                        <a:effectRef idx="0">
                          <a:scrgbClr r="0" g="0" b="0"/>
                        </a:effectRef>
                        <a:fontRef idx="minor"/>
                      </wps:style>
                      <wps:txbx>
                        <w:txbxContent>
                          <w:p w14:paraId="62A2539B" w14:textId="77777777" w:rsidR="00975E2E" w:rsidRDefault="00524696">
                            <w:pPr>
                              <w:pStyle w:val="FrameContents"/>
                              <w:spacing w:line="240" w:lineRule="exact"/>
                            </w:pPr>
                            <w:r>
                              <w:rPr>
                                <w:color w:val="000000"/>
                              </w:rPr>
                              <w:t>Cuadro 1</w:t>
                            </w:r>
                          </w:p>
                        </w:txbxContent>
                      </wps:txbx>
                      <wps:bodyPr>
                        <a:noAutofit/>
                      </wps:bodyPr>
                    </wps:wsp>
                  </a:graphicData>
                </a:graphic>
              </wp:anchor>
            </w:drawing>
          </mc:Choice>
          <mc:Fallback>
            <w:pict>
              <v:rect id="shape_0" ID="Frame1" stroked="f" style="position:absolute;margin-left:448pt;margin-top:-16.8pt;width:76.05pt;height:60.85pt">
                <w10:wrap type="square"/>
                <v:fill o:detectmouseclick="t" on="false"/>
                <v:stroke color="#3465a4" joinstyle="round" endcap="flat"/>
                <v:textbox>
                  <w:txbxContent>
                    <w:p>
                      <w:pPr>
                        <w:pStyle w:val="FrameContents"/>
                        <w:spacing w:lineRule="exact" w:line="240" w:before="0" w:after="0"/>
                        <w:ind w:left="0" w:right="0" w:hanging="0"/>
                        <w:jc w:val="left"/>
                        <w:rPr/>
                      </w:pPr>
                      <w:r>
                        <w:rPr>
                          <w:rFonts w:eastAsia="Calibri" w:cs="Calibri"/>
                          <w:b w:val="false"/>
                          <w:i w:val="false"/>
                          <w:caps w:val="false"/>
                          <w:smallCaps w:val="false"/>
                          <w:strike w:val="false"/>
                          <w:dstrike w:val="false"/>
                          <w:color w:val="000000"/>
                          <w:position w:val="0"/>
                          <w:sz w:val="22"/>
                          <w:sz w:val="22"/>
                          <w:vertAlign w:val="baseline"/>
                        </w:rPr>
                        <w:t>Cuadro 1</w:t>
                      </w:r>
                    </w:p>
                  </w:txbxContent>
                </v:textbox>
              </v:rect>
            </w:pict>
          </mc:Fallback>
        </mc:AlternateContent>
      </w:r>
      <w:r>
        <w:t xml:space="preserve">5.2.3.4. </w:t>
      </w:r>
      <w:r>
        <w:tab/>
        <w:t>La máscar</w:t>
      </w:r>
      <w:r>
        <w:t>a quirúrgica EN 14683 y todos los demás suministros deben coincidir entre el producto recibido y la foto del producto o la muestra proporcionada por el proveedor. Además, comparar el número de lote y la fecha de caducidad o de fabricación con la lista de e</w:t>
      </w:r>
      <w:r>
        <w:t>mbalaje. Las máscaras tienen una vida útil de 5 años, pero normalmente no vienen con una fecha de caducidad, revisar la fecha de producción y comprobar si está en un plazo de 5 años</w:t>
      </w:r>
    </w:p>
    <w:p w14:paraId="6A2DE158" w14:textId="77777777" w:rsidR="00975E2E" w:rsidRDefault="00524696" w:rsidP="00E45812">
      <w:pPr>
        <w:pStyle w:val="Heading4"/>
        <w:spacing w:line="300" w:lineRule="exact"/>
        <w:jc w:val="both"/>
      </w:pPr>
      <w:r>
        <w:t xml:space="preserve"> 5.2.3.5. </w:t>
      </w:r>
      <w:r>
        <w:tab/>
        <w:t>Solo los guantes quirúrgicos estériles tienen una fecha de cadu</w:t>
      </w:r>
      <w:r>
        <w:t xml:space="preserve">cidad y deben tener un mínimo de 6 meses. </w:t>
      </w:r>
    </w:p>
    <w:p w14:paraId="7D2AD138" w14:textId="77777777" w:rsidR="00975E2E" w:rsidRDefault="00975E2E" w:rsidP="00E45812">
      <w:pPr>
        <w:pStyle w:val="LO-normal"/>
        <w:spacing w:line="300" w:lineRule="exact"/>
        <w:jc w:val="both"/>
      </w:pPr>
    </w:p>
    <w:p w14:paraId="6EA952E4" w14:textId="77777777" w:rsidR="00975E2E" w:rsidRDefault="00524696" w:rsidP="00E45812">
      <w:pPr>
        <w:pStyle w:val="LO-normal"/>
        <w:spacing w:after="120" w:line="300" w:lineRule="exact"/>
        <w:jc w:val="both"/>
      </w:pPr>
      <w:r>
        <w:rPr>
          <w:rFonts w:ascii="Arial" w:eastAsia="Arial" w:hAnsi="Arial" w:cs="Arial"/>
          <w:sz w:val="24"/>
        </w:rPr>
        <w:t>Los resultados de la inspección visual deben compilarse en un informe y guardarse junto con la carga. Cualquier discrepancia debe notificarse en la nota de entrada de mercancías y el oficial de adquisiciones corr</w:t>
      </w:r>
      <w:r>
        <w:rPr>
          <w:rFonts w:ascii="Arial" w:eastAsia="Arial" w:hAnsi="Arial" w:cs="Arial"/>
          <w:sz w:val="24"/>
        </w:rPr>
        <w:t>espondiente debe ser informado a efectos de la adopción de medidas adicionales con el proveedor.</w:t>
      </w:r>
    </w:p>
    <w:p w14:paraId="5D7B2790" w14:textId="77777777" w:rsidR="00524696" w:rsidRDefault="00524696" w:rsidP="00E45812">
      <w:pPr>
        <w:pStyle w:val="Heading1"/>
        <w:spacing w:line="300" w:lineRule="exact"/>
      </w:pPr>
      <w:bookmarkStart w:id="0" w:name="_gjdgxs"/>
      <w:bookmarkEnd w:id="0"/>
      <w:r>
        <w:t>6.</w:t>
      </w:r>
      <w:r>
        <w:tab/>
        <w:t xml:space="preserve">Sociedades Nacionales que administran adquisiciones a través del </w:t>
      </w:r>
    </w:p>
    <w:p w14:paraId="70DDF747" w14:textId="5A23C890" w:rsidR="00975E2E" w:rsidRDefault="00524696" w:rsidP="00524696">
      <w:pPr>
        <w:pStyle w:val="Heading1"/>
        <w:spacing w:before="0"/>
      </w:pPr>
      <w:r>
        <w:t xml:space="preserve">           </w:t>
      </w:r>
      <w:r>
        <w:t>llamamiento de la FICR</w:t>
      </w:r>
    </w:p>
    <w:p w14:paraId="0E6441C7" w14:textId="77777777" w:rsidR="00975E2E" w:rsidRDefault="00975E2E" w:rsidP="00E45812">
      <w:pPr>
        <w:pStyle w:val="LO-normal"/>
        <w:shd w:val="clear" w:color="auto" w:fill="FFFFFF"/>
        <w:spacing w:line="300" w:lineRule="exact"/>
        <w:jc w:val="both"/>
        <w:rPr>
          <w:rFonts w:ascii="Arial" w:eastAsia="Arial" w:hAnsi="Arial" w:cs="Arial"/>
          <w:sz w:val="24"/>
        </w:rPr>
      </w:pPr>
    </w:p>
    <w:p w14:paraId="373C20D2" w14:textId="77777777" w:rsidR="00975E2E" w:rsidRDefault="00524696" w:rsidP="00E45812">
      <w:pPr>
        <w:pStyle w:val="LO-normal"/>
        <w:shd w:val="clear" w:color="auto" w:fill="FFFFFF"/>
        <w:spacing w:line="300" w:lineRule="exact"/>
        <w:jc w:val="both"/>
        <w:rPr>
          <w:rFonts w:ascii="Arial" w:eastAsia="Arial" w:hAnsi="Arial" w:cs="Arial"/>
          <w:sz w:val="24"/>
        </w:rPr>
      </w:pPr>
      <w:r>
        <w:rPr>
          <w:rFonts w:ascii="Arial" w:eastAsia="Arial" w:hAnsi="Arial" w:cs="Arial"/>
          <w:sz w:val="24"/>
        </w:rPr>
        <w:t xml:space="preserve">Las SN que administran fondos de la FICR a través de una modalidad </w:t>
      </w:r>
      <w:r>
        <w:rPr>
          <w:rFonts w:ascii="Arial" w:eastAsia="Arial" w:hAnsi="Arial" w:cs="Arial"/>
          <w:sz w:val="24"/>
        </w:rPr>
        <w:t>de trabajo financiero acordada deben seguir los procedimientos de adquisición aprobados. Los procedimientos de adquisición de las SN solo pueden aplicarse cuando hayan sido formalmente aprobados por la autoridad de adquisiciones de LPSCM correspondiente. E</w:t>
      </w:r>
      <w:r>
        <w:rPr>
          <w:rFonts w:ascii="Arial" w:eastAsia="Arial" w:hAnsi="Arial" w:cs="Arial"/>
          <w:sz w:val="24"/>
        </w:rPr>
        <w:t xml:space="preserve">sto puede incluir medidas adicionales de mitigación de riesgos introducidas por la FICR después de un proceso de </w:t>
      </w:r>
      <w:r>
        <w:rPr>
          <w:rFonts w:ascii="Arial" w:eastAsia="Arial" w:hAnsi="Arial" w:cs="Arial"/>
          <w:sz w:val="24"/>
        </w:rPr>
        <w:lastRenderedPageBreak/>
        <w:t>evaluación de riesgos. De lo contrario, las SN deben seguir los procedimientos de adquisición de la FICR.</w:t>
      </w:r>
    </w:p>
    <w:p w14:paraId="18C3F49A" w14:textId="77777777" w:rsidR="00975E2E" w:rsidRDefault="00975E2E" w:rsidP="00E45812">
      <w:pPr>
        <w:pStyle w:val="LO-normal"/>
        <w:spacing w:line="300" w:lineRule="exact"/>
        <w:jc w:val="both"/>
        <w:rPr>
          <w:rFonts w:ascii="Arial" w:eastAsia="Arial" w:hAnsi="Arial" w:cs="Arial"/>
          <w:sz w:val="24"/>
        </w:rPr>
      </w:pPr>
    </w:p>
    <w:p w14:paraId="308B8965" w14:textId="29D21E8C" w:rsidR="00975E2E" w:rsidRDefault="00524696" w:rsidP="00E45812">
      <w:pPr>
        <w:pStyle w:val="LO-normal"/>
        <w:shd w:val="clear" w:color="auto" w:fill="FFFFFF"/>
        <w:spacing w:line="300" w:lineRule="exact"/>
        <w:jc w:val="both"/>
        <w:rPr>
          <w:rFonts w:ascii="Arial" w:eastAsia="Arial" w:hAnsi="Arial" w:cs="Arial"/>
          <w:sz w:val="24"/>
        </w:rPr>
      </w:pPr>
      <w:r>
        <w:rPr>
          <w:rFonts w:ascii="Arial" w:eastAsia="Arial" w:hAnsi="Arial" w:cs="Arial"/>
          <w:sz w:val="24"/>
        </w:rPr>
        <w:t>Es responsabilidad de los directores</w:t>
      </w:r>
      <w:r>
        <w:rPr>
          <w:rFonts w:ascii="Arial" w:eastAsia="Arial" w:hAnsi="Arial" w:cs="Arial"/>
          <w:sz w:val="24"/>
        </w:rPr>
        <w:t xml:space="preserve"> de proyecto, en coordinación con la estructura de LPSCM operativa regional pertinente, trabajar con una SN desde el principio y garantizar una clara comprensión de los procedimientos y el proceso que deben seguirse.</w:t>
      </w:r>
    </w:p>
    <w:p w14:paraId="7CEA995A" w14:textId="77777777" w:rsidR="00524696" w:rsidRDefault="00524696" w:rsidP="00E45812">
      <w:pPr>
        <w:pStyle w:val="LO-normal"/>
        <w:shd w:val="clear" w:color="auto" w:fill="FFFFFF"/>
        <w:spacing w:line="300" w:lineRule="exact"/>
        <w:jc w:val="both"/>
        <w:rPr>
          <w:rFonts w:ascii="Arial" w:eastAsia="Arial" w:hAnsi="Arial" w:cs="Arial"/>
          <w:sz w:val="24"/>
        </w:rPr>
      </w:pPr>
    </w:p>
    <w:p w14:paraId="7422AC2C" w14:textId="77777777" w:rsidR="00975E2E" w:rsidRDefault="00975E2E">
      <w:pPr>
        <w:pStyle w:val="LO-normal"/>
        <w:shd w:val="clear" w:color="auto" w:fill="FFFFFF"/>
        <w:jc w:val="both"/>
      </w:pPr>
      <w:bookmarkStart w:id="1" w:name="_30j0zll"/>
      <w:bookmarkEnd w:id="1"/>
    </w:p>
    <w:p w14:paraId="713414EF" w14:textId="77777777" w:rsidR="00975E2E" w:rsidRDefault="00524696">
      <w:pPr>
        <w:pStyle w:val="Heading1"/>
        <w:spacing w:before="0"/>
      </w:pPr>
      <w:r>
        <w:t>7.</w:t>
      </w:r>
      <w:r>
        <w:tab/>
        <w:t>Contactos útiles</w:t>
      </w:r>
    </w:p>
    <w:p w14:paraId="761405E3" w14:textId="77777777" w:rsidR="00975E2E" w:rsidRDefault="00975E2E">
      <w:pPr>
        <w:pStyle w:val="LO-normal"/>
      </w:pPr>
    </w:p>
    <w:tbl>
      <w:tblPr>
        <w:tblW w:w="9628" w:type="dxa"/>
        <w:tblLook w:val="0400" w:firstRow="0" w:lastRow="0" w:firstColumn="0" w:lastColumn="0" w:noHBand="0" w:noVBand="1"/>
      </w:tblPr>
      <w:tblGrid>
        <w:gridCol w:w="2610"/>
        <w:gridCol w:w="3207"/>
        <w:gridCol w:w="3811"/>
      </w:tblGrid>
      <w:tr w:rsidR="00975E2E" w14:paraId="2ECB8C67" w14:textId="77777777">
        <w:tc>
          <w:tcPr>
            <w:tcW w:w="9628" w:type="dxa"/>
            <w:gridSpan w:val="3"/>
            <w:tcBorders>
              <w:top w:val="single" w:sz="4" w:space="0" w:color="000000"/>
              <w:left w:val="single" w:sz="4" w:space="0" w:color="000000"/>
              <w:bottom w:val="single" w:sz="4" w:space="0" w:color="000000"/>
              <w:right w:val="single" w:sz="4" w:space="0" w:color="000000"/>
            </w:tcBorders>
            <w:shd w:val="clear" w:color="auto" w:fill="F2F2F2"/>
          </w:tcPr>
          <w:p w14:paraId="7932D969" w14:textId="77777777" w:rsidR="00975E2E" w:rsidRDefault="00524696">
            <w:pPr>
              <w:pStyle w:val="LO-normal"/>
              <w:tabs>
                <w:tab w:val="left" w:pos="0"/>
              </w:tabs>
              <w:spacing w:after="240" w:line="252" w:lineRule="auto"/>
              <w:rPr>
                <w:rFonts w:ascii="Arial" w:eastAsia="Arial" w:hAnsi="Arial" w:cs="Arial"/>
                <w:b/>
                <w:color w:val="000000"/>
                <w:sz w:val="24"/>
              </w:rPr>
            </w:pPr>
            <w:r>
              <w:rPr>
                <w:rFonts w:ascii="Arial" w:eastAsia="Arial" w:hAnsi="Arial" w:cs="Arial"/>
                <w:b/>
                <w:color w:val="000000"/>
                <w:sz w:val="24"/>
              </w:rPr>
              <w:t xml:space="preserve">Unidad de </w:t>
            </w:r>
            <w:r>
              <w:rPr>
                <w:rFonts w:ascii="Arial" w:eastAsia="Arial" w:hAnsi="Arial" w:cs="Arial"/>
                <w:b/>
                <w:color w:val="000000"/>
                <w:sz w:val="24"/>
              </w:rPr>
              <w:t>LPSCM operativa regional</w:t>
            </w:r>
          </w:p>
        </w:tc>
      </w:tr>
      <w:tr w:rsidR="00975E2E" w14:paraId="6E5077F1" w14:textId="77777777">
        <w:trPr>
          <w:trHeight w:val="699"/>
        </w:trPr>
        <w:tc>
          <w:tcPr>
            <w:tcW w:w="2610" w:type="dxa"/>
            <w:tcBorders>
              <w:top w:val="single" w:sz="4" w:space="0" w:color="000000"/>
              <w:left w:val="single" w:sz="4" w:space="0" w:color="000000"/>
              <w:bottom w:val="single" w:sz="4" w:space="0" w:color="000000"/>
              <w:right w:val="single" w:sz="4" w:space="0" w:color="000000"/>
            </w:tcBorders>
            <w:shd w:val="clear" w:color="auto" w:fill="auto"/>
          </w:tcPr>
          <w:p w14:paraId="51D61D9D" w14:textId="77777777" w:rsidR="00975E2E" w:rsidRDefault="00524696">
            <w:pPr>
              <w:pStyle w:val="LO-normal"/>
              <w:tabs>
                <w:tab w:val="left" w:pos="0"/>
              </w:tabs>
              <w:spacing w:after="240" w:line="252" w:lineRule="auto"/>
              <w:rPr>
                <w:rFonts w:ascii="Arial" w:eastAsia="Arial" w:hAnsi="Arial" w:cs="Arial"/>
                <w:color w:val="000000"/>
                <w:sz w:val="24"/>
              </w:rPr>
            </w:pPr>
            <w:r>
              <w:rPr>
                <w:rFonts w:ascii="Arial" w:eastAsia="Arial" w:hAnsi="Arial" w:cs="Arial"/>
                <w:color w:val="000000"/>
                <w:sz w:val="24"/>
              </w:rPr>
              <w:t>Mauricio Bustamante</w:t>
            </w:r>
          </w:p>
        </w:tc>
        <w:tc>
          <w:tcPr>
            <w:tcW w:w="3207" w:type="dxa"/>
            <w:tcBorders>
              <w:top w:val="single" w:sz="4" w:space="0" w:color="000000"/>
              <w:left w:val="single" w:sz="4" w:space="0" w:color="000000"/>
              <w:bottom w:val="single" w:sz="4" w:space="0" w:color="000000"/>
              <w:right w:val="single" w:sz="4" w:space="0" w:color="000000"/>
            </w:tcBorders>
            <w:shd w:val="clear" w:color="auto" w:fill="auto"/>
          </w:tcPr>
          <w:p w14:paraId="1E3AF3D8" w14:textId="77777777" w:rsidR="00975E2E" w:rsidRDefault="00524696">
            <w:pPr>
              <w:pStyle w:val="LO-normal"/>
              <w:tabs>
                <w:tab w:val="left" w:pos="0"/>
              </w:tabs>
              <w:spacing w:after="240" w:line="252" w:lineRule="auto"/>
              <w:rPr>
                <w:rFonts w:ascii="Arial" w:eastAsia="Arial" w:hAnsi="Arial" w:cs="Arial"/>
                <w:color w:val="000000"/>
                <w:sz w:val="24"/>
              </w:rPr>
            </w:pPr>
            <w:r>
              <w:rPr>
                <w:rFonts w:ascii="Arial" w:eastAsia="Arial" w:hAnsi="Arial" w:cs="Arial"/>
                <w:color w:val="000000"/>
                <w:sz w:val="24"/>
              </w:rPr>
              <w:t>Jefe de LPSCM operativa regional de América</w:t>
            </w:r>
          </w:p>
        </w:tc>
        <w:tc>
          <w:tcPr>
            <w:tcW w:w="3811" w:type="dxa"/>
            <w:tcBorders>
              <w:top w:val="single" w:sz="4" w:space="0" w:color="000000"/>
              <w:left w:val="single" w:sz="4" w:space="0" w:color="000000"/>
              <w:bottom w:val="single" w:sz="4" w:space="0" w:color="000000"/>
              <w:right w:val="single" w:sz="4" w:space="0" w:color="000000"/>
            </w:tcBorders>
            <w:shd w:val="clear" w:color="auto" w:fill="auto"/>
          </w:tcPr>
          <w:p w14:paraId="56A956D8" w14:textId="77777777" w:rsidR="00975E2E" w:rsidRDefault="00524696">
            <w:pPr>
              <w:pStyle w:val="LO-normal"/>
              <w:tabs>
                <w:tab w:val="left" w:pos="0"/>
              </w:tabs>
              <w:spacing w:line="252" w:lineRule="auto"/>
            </w:pPr>
            <w:hyperlink r:id="rId18">
              <w:r>
                <w:rPr>
                  <w:rFonts w:ascii="Times New Roman" w:eastAsia="Times New Roman" w:hAnsi="Times New Roman" w:cs="Times New Roman"/>
                  <w:color w:val="0000FF"/>
                  <w:sz w:val="20"/>
                  <w:u w:val="single"/>
                </w:rPr>
                <w:t>Mauricio.BUSTAMANTE@ifrc.org</w:t>
              </w:r>
            </w:hyperlink>
          </w:p>
          <w:p w14:paraId="39759135" w14:textId="77777777" w:rsidR="00975E2E" w:rsidRDefault="00524696">
            <w:pPr>
              <w:pStyle w:val="LO-normal"/>
              <w:tabs>
                <w:tab w:val="left" w:pos="0"/>
              </w:tabs>
              <w:spacing w:line="252" w:lineRule="auto"/>
              <w:rPr>
                <w:rFonts w:ascii="Arial" w:eastAsia="Arial" w:hAnsi="Arial" w:cs="Arial"/>
                <w:color w:val="000000"/>
                <w:sz w:val="24"/>
              </w:rPr>
            </w:pPr>
            <w:r>
              <w:rPr>
                <w:rFonts w:ascii="Arial" w:eastAsia="Arial" w:hAnsi="Arial" w:cs="Arial"/>
                <w:color w:val="000000"/>
                <w:sz w:val="24"/>
              </w:rPr>
              <w:t>+507 6677 9675</w:t>
            </w:r>
          </w:p>
        </w:tc>
      </w:tr>
      <w:tr w:rsidR="00975E2E" w14:paraId="3D903D7C" w14:textId="77777777">
        <w:tc>
          <w:tcPr>
            <w:tcW w:w="2610" w:type="dxa"/>
            <w:tcBorders>
              <w:top w:val="single" w:sz="4" w:space="0" w:color="000000"/>
              <w:left w:val="single" w:sz="4" w:space="0" w:color="000000"/>
              <w:bottom w:val="single" w:sz="4" w:space="0" w:color="000000"/>
              <w:right w:val="single" w:sz="4" w:space="0" w:color="000000"/>
            </w:tcBorders>
            <w:shd w:val="clear" w:color="auto" w:fill="auto"/>
          </w:tcPr>
          <w:p w14:paraId="201642A7" w14:textId="77777777" w:rsidR="00975E2E" w:rsidRDefault="00524696">
            <w:pPr>
              <w:pStyle w:val="LO-normal"/>
              <w:tabs>
                <w:tab w:val="left" w:pos="0"/>
              </w:tabs>
              <w:spacing w:after="240" w:line="252" w:lineRule="auto"/>
              <w:rPr>
                <w:rFonts w:ascii="Arial" w:eastAsia="Arial" w:hAnsi="Arial" w:cs="Arial"/>
                <w:color w:val="000000"/>
                <w:sz w:val="24"/>
              </w:rPr>
            </w:pPr>
            <w:r>
              <w:rPr>
                <w:rFonts w:ascii="Arial" w:eastAsia="Arial" w:hAnsi="Arial" w:cs="Arial"/>
                <w:color w:val="000000"/>
                <w:sz w:val="24"/>
              </w:rPr>
              <w:t xml:space="preserve">Alka </w:t>
            </w:r>
            <w:proofErr w:type="spellStart"/>
            <w:r>
              <w:rPr>
                <w:rFonts w:ascii="Arial" w:eastAsia="Arial" w:hAnsi="Arial" w:cs="Arial"/>
                <w:color w:val="000000"/>
                <w:sz w:val="24"/>
              </w:rPr>
              <w:t>KapoorSharma</w:t>
            </w:r>
            <w:proofErr w:type="spellEnd"/>
          </w:p>
        </w:tc>
        <w:tc>
          <w:tcPr>
            <w:tcW w:w="3207" w:type="dxa"/>
            <w:tcBorders>
              <w:top w:val="single" w:sz="4" w:space="0" w:color="000000"/>
              <w:left w:val="single" w:sz="4" w:space="0" w:color="000000"/>
              <w:bottom w:val="single" w:sz="4" w:space="0" w:color="000000"/>
              <w:right w:val="single" w:sz="4" w:space="0" w:color="000000"/>
            </w:tcBorders>
            <w:shd w:val="clear" w:color="auto" w:fill="auto"/>
          </w:tcPr>
          <w:p w14:paraId="1107BBF0" w14:textId="77777777" w:rsidR="00975E2E" w:rsidRDefault="00524696">
            <w:pPr>
              <w:pStyle w:val="LO-normal"/>
              <w:tabs>
                <w:tab w:val="left" w:pos="0"/>
              </w:tabs>
              <w:spacing w:after="240" w:line="252" w:lineRule="auto"/>
              <w:rPr>
                <w:rFonts w:ascii="Arial" w:eastAsia="Arial" w:hAnsi="Arial" w:cs="Arial"/>
                <w:color w:val="000000"/>
                <w:sz w:val="24"/>
              </w:rPr>
            </w:pPr>
            <w:r>
              <w:rPr>
                <w:rFonts w:ascii="Arial" w:eastAsia="Arial" w:hAnsi="Arial" w:cs="Arial"/>
                <w:color w:val="000000"/>
                <w:sz w:val="24"/>
              </w:rPr>
              <w:t xml:space="preserve">Jefa de LPSCM operativa regional de Asia y el </w:t>
            </w:r>
            <w:r>
              <w:rPr>
                <w:rFonts w:ascii="Arial" w:eastAsia="Arial" w:hAnsi="Arial" w:cs="Arial"/>
                <w:color w:val="000000"/>
                <w:sz w:val="24"/>
              </w:rPr>
              <w:t>Pacífico</w:t>
            </w:r>
          </w:p>
        </w:tc>
        <w:tc>
          <w:tcPr>
            <w:tcW w:w="3811" w:type="dxa"/>
            <w:tcBorders>
              <w:top w:val="single" w:sz="4" w:space="0" w:color="000000"/>
              <w:left w:val="single" w:sz="4" w:space="0" w:color="000000"/>
              <w:bottom w:val="single" w:sz="4" w:space="0" w:color="000000"/>
              <w:right w:val="single" w:sz="4" w:space="0" w:color="000000"/>
            </w:tcBorders>
            <w:shd w:val="clear" w:color="auto" w:fill="auto"/>
          </w:tcPr>
          <w:p w14:paraId="70C1B3A9" w14:textId="77777777" w:rsidR="00975E2E" w:rsidRDefault="00524696">
            <w:pPr>
              <w:pStyle w:val="LO-normal"/>
              <w:tabs>
                <w:tab w:val="left" w:pos="0"/>
              </w:tabs>
              <w:spacing w:line="252" w:lineRule="auto"/>
            </w:pPr>
            <w:hyperlink r:id="rId19">
              <w:r>
                <w:rPr>
                  <w:rFonts w:ascii="Times New Roman" w:eastAsia="Times New Roman" w:hAnsi="Times New Roman" w:cs="Times New Roman"/>
                  <w:color w:val="0000FF"/>
                  <w:sz w:val="20"/>
                  <w:u w:val="single"/>
                </w:rPr>
                <w:t>alka.kapoorsharma@ifrc.org</w:t>
              </w:r>
            </w:hyperlink>
          </w:p>
          <w:p w14:paraId="5216538E" w14:textId="77777777" w:rsidR="00975E2E" w:rsidRDefault="00524696">
            <w:pPr>
              <w:pStyle w:val="LO-normal"/>
              <w:tabs>
                <w:tab w:val="left" w:pos="0"/>
              </w:tabs>
              <w:spacing w:line="252" w:lineRule="auto"/>
              <w:rPr>
                <w:rFonts w:ascii="Arial" w:eastAsia="Arial" w:hAnsi="Arial" w:cs="Arial"/>
                <w:color w:val="000000"/>
                <w:sz w:val="24"/>
              </w:rPr>
            </w:pPr>
            <w:r>
              <w:rPr>
                <w:rFonts w:ascii="Arial" w:eastAsia="Arial" w:hAnsi="Arial" w:cs="Arial"/>
                <w:color w:val="000000"/>
                <w:sz w:val="24"/>
              </w:rPr>
              <w:t>+60 12 225 1160</w:t>
            </w:r>
          </w:p>
        </w:tc>
      </w:tr>
      <w:tr w:rsidR="00975E2E" w14:paraId="6DE8A550" w14:textId="77777777">
        <w:tc>
          <w:tcPr>
            <w:tcW w:w="2610" w:type="dxa"/>
            <w:tcBorders>
              <w:top w:val="single" w:sz="4" w:space="0" w:color="000000"/>
              <w:left w:val="single" w:sz="4" w:space="0" w:color="000000"/>
              <w:bottom w:val="single" w:sz="4" w:space="0" w:color="000000"/>
              <w:right w:val="single" w:sz="4" w:space="0" w:color="000000"/>
            </w:tcBorders>
            <w:shd w:val="clear" w:color="auto" w:fill="auto"/>
          </w:tcPr>
          <w:p w14:paraId="6193A226" w14:textId="77777777" w:rsidR="00975E2E" w:rsidRDefault="00524696">
            <w:pPr>
              <w:pStyle w:val="LO-normal"/>
              <w:tabs>
                <w:tab w:val="left" w:pos="0"/>
              </w:tabs>
              <w:spacing w:line="252" w:lineRule="auto"/>
              <w:rPr>
                <w:rFonts w:ascii="Arial" w:eastAsia="Arial" w:hAnsi="Arial" w:cs="Arial"/>
                <w:color w:val="000000"/>
                <w:sz w:val="24"/>
              </w:rPr>
            </w:pPr>
            <w:proofErr w:type="spellStart"/>
            <w:r>
              <w:rPr>
                <w:rFonts w:ascii="Arial" w:eastAsia="Arial" w:hAnsi="Arial" w:cs="Arial"/>
                <w:color w:val="000000"/>
                <w:sz w:val="24"/>
              </w:rPr>
              <w:t>Beelin</w:t>
            </w:r>
            <w:proofErr w:type="spellEnd"/>
            <w:r>
              <w:rPr>
                <w:rFonts w:ascii="Arial" w:eastAsia="Arial" w:hAnsi="Arial" w:cs="Arial"/>
                <w:color w:val="000000"/>
                <w:sz w:val="24"/>
              </w:rPr>
              <w:t xml:space="preserve"> Wong</w:t>
            </w:r>
          </w:p>
        </w:tc>
        <w:tc>
          <w:tcPr>
            <w:tcW w:w="3207" w:type="dxa"/>
            <w:tcBorders>
              <w:top w:val="single" w:sz="4" w:space="0" w:color="000000"/>
              <w:left w:val="single" w:sz="4" w:space="0" w:color="000000"/>
              <w:bottom w:val="single" w:sz="4" w:space="0" w:color="000000"/>
              <w:right w:val="single" w:sz="4" w:space="0" w:color="000000"/>
            </w:tcBorders>
            <w:shd w:val="clear" w:color="auto" w:fill="auto"/>
          </w:tcPr>
          <w:p w14:paraId="77C07F6A" w14:textId="77777777" w:rsidR="00975E2E" w:rsidRDefault="00524696">
            <w:pPr>
              <w:pStyle w:val="LO-normal"/>
              <w:tabs>
                <w:tab w:val="left" w:pos="0"/>
              </w:tabs>
              <w:spacing w:line="252" w:lineRule="auto"/>
              <w:rPr>
                <w:rFonts w:ascii="Arial" w:eastAsia="Arial" w:hAnsi="Arial" w:cs="Arial"/>
                <w:color w:val="000000"/>
                <w:sz w:val="24"/>
              </w:rPr>
            </w:pPr>
            <w:r>
              <w:rPr>
                <w:rFonts w:ascii="Arial" w:eastAsia="Arial" w:hAnsi="Arial" w:cs="Arial"/>
                <w:color w:val="000000"/>
                <w:sz w:val="24"/>
              </w:rPr>
              <w:t xml:space="preserve">Directora de adquisiciones, </w:t>
            </w:r>
            <w:proofErr w:type="gramStart"/>
            <w:r>
              <w:rPr>
                <w:rFonts w:ascii="Arial" w:eastAsia="Arial" w:hAnsi="Arial" w:cs="Arial"/>
                <w:color w:val="000000"/>
                <w:sz w:val="24"/>
              </w:rPr>
              <w:t>Directora</w:t>
            </w:r>
            <w:proofErr w:type="gramEnd"/>
            <w:r>
              <w:rPr>
                <w:rFonts w:ascii="Arial" w:eastAsia="Arial" w:hAnsi="Arial" w:cs="Arial"/>
                <w:color w:val="000000"/>
                <w:sz w:val="24"/>
              </w:rPr>
              <w:t xml:space="preserve"> adjunta de LPSCM operativa regional de Asia y el Pacífico</w:t>
            </w:r>
          </w:p>
        </w:tc>
        <w:tc>
          <w:tcPr>
            <w:tcW w:w="3811" w:type="dxa"/>
            <w:tcBorders>
              <w:top w:val="single" w:sz="4" w:space="0" w:color="000000"/>
              <w:left w:val="single" w:sz="4" w:space="0" w:color="000000"/>
              <w:bottom w:val="single" w:sz="4" w:space="0" w:color="000000"/>
              <w:right w:val="single" w:sz="4" w:space="0" w:color="000000"/>
            </w:tcBorders>
            <w:shd w:val="clear" w:color="auto" w:fill="auto"/>
          </w:tcPr>
          <w:p w14:paraId="2EE51020" w14:textId="77777777" w:rsidR="00975E2E" w:rsidRDefault="00524696">
            <w:pPr>
              <w:pStyle w:val="LO-normal"/>
              <w:tabs>
                <w:tab w:val="left" w:pos="0"/>
              </w:tabs>
              <w:spacing w:line="252" w:lineRule="auto"/>
            </w:pPr>
            <w:hyperlink r:id="rId20">
              <w:r>
                <w:rPr>
                  <w:rFonts w:ascii="Times New Roman" w:eastAsia="Times New Roman" w:hAnsi="Times New Roman" w:cs="Times New Roman"/>
                  <w:color w:val="0000FF"/>
                  <w:sz w:val="20"/>
                  <w:u w:val="single"/>
                </w:rPr>
                <w:t>beelin.wong@ifrc.org</w:t>
              </w:r>
            </w:hyperlink>
          </w:p>
          <w:p w14:paraId="24A876F7" w14:textId="77777777" w:rsidR="00975E2E" w:rsidRDefault="00524696">
            <w:pPr>
              <w:pStyle w:val="LO-normal"/>
              <w:tabs>
                <w:tab w:val="left" w:pos="0"/>
              </w:tabs>
              <w:spacing w:line="252" w:lineRule="auto"/>
              <w:rPr>
                <w:rFonts w:ascii="Arial" w:eastAsia="Arial" w:hAnsi="Arial" w:cs="Arial"/>
                <w:color w:val="000000"/>
                <w:sz w:val="24"/>
              </w:rPr>
            </w:pPr>
            <w:bookmarkStart w:id="2" w:name="_1fob9te"/>
            <w:bookmarkEnd w:id="2"/>
            <w:r>
              <w:rPr>
                <w:rFonts w:ascii="Arial" w:eastAsia="Arial" w:hAnsi="Arial" w:cs="Arial"/>
                <w:color w:val="000000"/>
                <w:sz w:val="24"/>
              </w:rPr>
              <w:t>+60 12 216 6038</w:t>
            </w:r>
          </w:p>
        </w:tc>
      </w:tr>
      <w:tr w:rsidR="00975E2E" w14:paraId="1B75843C" w14:textId="77777777">
        <w:tc>
          <w:tcPr>
            <w:tcW w:w="2610" w:type="dxa"/>
            <w:tcBorders>
              <w:top w:val="single" w:sz="4" w:space="0" w:color="000000"/>
              <w:left w:val="single" w:sz="4" w:space="0" w:color="000000"/>
              <w:bottom w:val="single" w:sz="4" w:space="0" w:color="000000"/>
              <w:right w:val="single" w:sz="4" w:space="0" w:color="000000"/>
            </w:tcBorders>
            <w:shd w:val="clear" w:color="auto" w:fill="auto"/>
          </w:tcPr>
          <w:p w14:paraId="111AE820" w14:textId="77777777" w:rsidR="00975E2E" w:rsidRDefault="00524696">
            <w:pPr>
              <w:pStyle w:val="LO-normal"/>
              <w:tabs>
                <w:tab w:val="left" w:pos="0"/>
              </w:tabs>
              <w:spacing w:line="252" w:lineRule="auto"/>
              <w:rPr>
                <w:rFonts w:ascii="Arial" w:eastAsia="Arial" w:hAnsi="Arial" w:cs="Arial"/>
                <w:color w:val="000000"/>
                <w:sz w:val="24"/>
              </w:rPr>
            </w:pPr>
            <w:r>
              <w:rPr>
                <w:rFonts w:ascii="Arial" w:eastAsia="Arial" w:hAnsi="Arial" w:cs="Arial"/>
                <w:color w:val="000000"/>
                <w:sz w:val="24"/>
              </w:rPr>
              <w:t>Dharmin Thacker</w:t>
            </w:r>
          </w:p>
        </w:tc>
        <w:tc>
          <w:tcPr>
            <w:tcW w:w="3207" w:type="dxa"/>
            <w:tcBorders>
              <w:top w:val="single" w:sz="4" w:space="0" w:color="000000"/>
              <w:left w:val="single" w:sz="4" w:space="0" w:color="000000"/>
              <w:bottom w:val="single" w:sz="4" w:space="0" w:color="000000"/>
              <w:right w:val="single" w:sz="4" w:space="0" w:color="000000"/>
            </w:tcBorders>
            <w:shd w:val="clear" w:color="auto" w:fill="auto"/>
          </w:tcPr>
          <w:p w14:paraId="5047C30E" w14:textId="77777777" w:rsidR="00975E2E" w:rsidRDefault="00524696">
            <w:pPr>
              <w:pStyle w:val="LO-normal"/>
              <w:tabs>
                <w:tab w:val="left" w:pos="0"/>
              </w:tabs>
              <w:spacing w:line="252" w:lineRule="auto"/>
              <w:rPr>
                <w:rFonts w:ascii="Arial" w:eastAsia="Arial" w:hAnsi="Arial" w:cs="Arial"/>
                <w:color w:val="000000"/>
                <w:sz w:val="24"/>
              </w:rPr>
            </w:pPr>
            <w:r>
              <w:rPr>
                <w:rFonts w:ascii="Arial" w:eastAsia="Arial" w:hAnsi="Arial" w:cs="Arial"/>
                <w:color w:val="000000"/>
                <w:sz w:val="24"/>
              </w:rPr>
              <w:t>Jefe interino de LPSCM operativa regional de Oriente Próximo y África del Norte</w:t>
            </w:r>
          </w:p>
        </w:tc>
        <w:tc>
          <w:tcPr>
            <w:tcW w:w="3811" w:type="dxa"/>
            <w:tcBorders>
              <w:top w:val="single" w:sz="4" w:space="0" w:color="000000"/>
              <w:left w:val="single" w:sz="4" w:space="0" w:color="000000"/>
              <w:bottom w:val="single" w:sz="4" w:space="0" w:color="000000"/>
              <w:right w:val="single" w:sz="4" w:space="0" w:color="000000"/>
            </w:tcBorders>
            <w:shd w:val="clear" w:color="auto" w:fill="auto"/>
          </w:tcPr>
          <w:p w14:paraId="6C12C919" w14:textId="77777777" w:rsidR="00975E2E" w:rsidRDefault="00524696">
            <w:pPr>
              <w:pStyle w:val="LO-normal"/>
              <w:tabs>
                <w:tab w:val="left" w:pos="0"/>
              </w:tabs>
              <w:spacing w:line="252" w:lineRule="auto"/>
            </w:pPr>
            <w:hyperlink r:id="rId21">
              <w:r>
                <w:rPr>
                  <w:rFonts w:ascii="Times New Roman" w:eastAsia="Times New Roman" w:hAnsi="Times New Roman" w:cs="Times New Roman"/>
                  <w:color w:val="0000FF"/>
                  <w:sz w:val="20"/>
                  <w:u w:val="single"/>
                </w:rPr>
                <w:t>dharmin.thacker@ifrc.org</w:t>
              </w:r>
            </w:hyperlink>
          </w:p>
          <w:p w14:paraId="27B9BC32" w14:textId="77777777" w:rsidR="00975E2E" w:rsidRDefault="00524696">
            <w:pPr>
              <w:pStyle w:val="LO-normal"/>
              <w:tabs>
                <w:tab w:val="left" w:pos="0"/>
              </w:tabs>
              <w:spacing w:line="252" w:lineRule="auto"/>
              <w:rPr>
                <w:rFonts w:ascii="Arial" w:eastAsia="Arial" w:hAnsi="Arial" w:cs="Arial"/>
                <w:color w:val="000000"/>
                <w:sz w:val="24"/>
              </w:rPr>
            </w:pPr>
            <w:r>
              <w:rPr>
                <w:rFonts w:ascii="Arial" w:eastAsia="Arial" w:hAnsi="Arial" w:cs="Arial"/>
                <w:color w:val="000000"/>
                <w:sz w:val="24"/>
              </w:rPr>
              <w:t>+961 81 314 135</w:t>
            </w:r>
          </w:p>
        </w:tc>
      </w:tr>
      <w:tr w:rsidR="00975E2E" w14:paraId="7E04B599" w14:textId="77777777">
        <w:tc>
          <w:tcPr>
            <w:tcW w:w="2610" w:type="dxa"/>
            <w:tcBorders>
              <w:top w:val="single" w:sz="4" w:space="0" w:color="000000"/>
              <w:left w:val="single" w:sz="4" w:space="0" w:color="000000"/>
              <w:bottom w:val="single" w:sz="4" w:space="0" w:color="000000"/>
              <w:right w:val="single" w:sz="4" w:space="0" w:color="000000"/>
            </w:tcBorders>
            <w:shd w:val="clear" w:color="auto" w:fill="auto"/>
          </w:tcPr>
          <w:p w14:paraId="065EC2E0" w14:textId="77777777" w:rsidR="00975E2E" w:rsidRDefault="00524696">
            <w:pPr>
              <w:pStyle w:val="LO-normal"/>
              <w:tabs>
                <w:tab w:val="left" w:pos="0"/>
              </w:tabs>
              <w:spacing w:line="252" w:lineRule="auto"/>
              <w:rPr>
                <w:rFonts w:ascii="Arial" w:eastAsia="Arial" w:hAnsi="Arial" w:cs="Arial"/>
                <w:color w:val="000000"/>
                <w:sz w:val="24"/>
              </w:rPr>
            </w:pPr>
            <w:r>
              <w:rPr>
                <w:rFonts w:ascii="Arial" w:eastAsia="Arial" w:hAnsi="Arial" w:cs="Arial"/>
                <w:color w:val="000000"/>
                <w:sz w:val="24"/>
              </w:rPr>
              <w:t xml:space="preserve">Rishi </w:t>
            </w:r>
            <w:proofErr w:type="spellStart"/>
            <w:r>
              <w:rPr>
                <w:rFonts w:ascii="Arial" w:eastAsia="Arial" w:hAnsi="Arial" w:cs="Arial"/>
                <w:color w:val="000000"/>
                <w:sz w:val="24"/>
              </w:rPr>
              <w:t>Ramrakha</w:t>
            </w:r>
            <w:proofErr w:type="spellEnd"/>
          </w:p>
        </w:tc>
        <w:tc>
          <w:tcPr>
            <w:tcW w:w="3207" w:type="dxa"/>
            <w:tcBorders>
              <w:top w:val="single" w:sz="4" w:space="0" w:color="000000"/>
              <w:left w:val="single" w:sz="4" w:space="0" w:color="000000"/>
              <w:bottom w:val="single" w:sz="4" w:space="0" w:color="000000"/>
              <w:right w:val="single" w:sz="4" w:space="0" w:color="000000"/>
            </w:tcBorders>
            <w:shd w:val="clear" w:color="auto" w:fill="auto"/>
          </w:tcPr>
          <w:p w14:paraId="7C66AD04" w14:textId="77777777" w:rsidR="00975E2E" w:rsidRDefault="00524696">
            <w:pPr>
              <w:pStyle w:val="LO-normal"/>
              <w:tabs>
                <w:tab w:val="left" w:pos="0"/>
              </w:tabs>
              <w:spacing w:line="252" w:lineRule="auto"/>
              <w:rPr>
                <w:rFonts w:ascii="Arial" w:eastAsia="Arial" w:hAnsi="Arial" w:cs="Arial"/>
                <w:color w:val="000000"/>
                <w:sz w:val="24"/>
              </w:rPr>
            </w:pPr>
            <w:r>
              <w:rPr>
                <w:rFonts w:ascii="Arial" w:eastAsia="Arial" w:hAnsi="Arial" w:cs="Arial"/>
                <w:color w:val="000000"/>
                <w:sz w:val="24"/>
              </w:rPr>
              <w:t>Jefe de LPSCM operativa regional de África</w:t>
            </w:r>
          </w:p>
        </w:tc>
        <w:tc>
          <w:tcPr>
            <w:tcW w:w="3811" w:type="dxa"/>
            <w:tcBorders>
              <w:top w:val="single" w:sz="4" w:space="0" w:color="000000"/>
              <w:left w:val="single" w:sz="4" w:space="0" w:color="000000"/>
              <w:bottom w:val="single" w:sz="4" w:space="0" w:color="000000"/>
              <w:right w:val="single" w:sz="4" w:space="0" w:color="000000"/>
            </w:tcBorders>
            <w:shd w:val="clear" w:color="auto" w:fill="auto"/>
          </w:tcPr>
          <w:p w14:paraId="0A0861A6" w14:textId="77777777" w:rsidR="00975E2E" w:rsidRDefault="00524696">
            <w:pPr>
              <w:pStyle w:val="LO-normal"/>
              <w:tabs>
                <w:tab w:val="left" w:pos="0"/>
              </w:tabs>
              <w:spacing w:line="252" w:lineRule="auto"/>
            </w:pPr>
            <w:hyperlink r:id="rId22">
              <w:r>
                <w:rPr>
                  <w:rFonts w:ascii="Times New Roman" w:eastAsia="Times New Roman" w:hAnsi="Times New Roman" w:cs="Times New Roman"/>
                  <w:color w:val="0000FF"/>
                  <w:sz w:val="20"/>
                  <w:u w:val="single"/>
                </w:rPr>
                <w:t>rishi.ramrakha@ifrc.org</w:t>
              </w:r>
            </w:hyperlink>
          </w:p>
          <w:p w14:paraId="7E96E60E" w14:textId="77777777" w:rsidR="00975E2E" w:rsidRDefault="00524696">
            <w:pPr>
              <w:pStyle w:val="LO-normal"/>
              <w:tabs>
                <w:tab w:val="left" w:pos="0"/>
              </w:tabs>
              <w:spacing w:line="252" w:lineRule="auto"/>
              <w:rPr>
                <w:rFonts w:ascii="Arial" w:eastAsia="Arial" w:hAnsi="Arial" w:cs="Arial"/>
                <w:color w:val="000000"/>
                <w:sz w:val="24"/>
              </w:rPr>
            </w:pPr>
            <w:r>
              <w:rPr>
                <w:rFonts w:ascii="Arial" w:eastAsia="Arial" w:hAnsi="Arial" w:cs="Arial"/>
                <w:color w:val="000000"/>
                <w:sz w:val="24"/>
              </w:rPr>
              <w:t>+254 733 888 022</w:t>
            </w:r>
          </w:p>
        </w:tc>
      </w:tr>
      <w:tr w:rsidR="00975E2E" w14:paraId="3FC248E9" w14:textId="77777777">
        <w:tc>
          <w:tcPr>
            <w:tcW w:w="9628" w:type="dxa"/>
            <w:gridSpan w:val="3"/>
            <w:tcBorders>
              <w:top w:val="single" w:sz="4" w:space="0" w:color="000000"/>
              <w:left w:val="single" w:sz="4" w:space="0" w:color="000000"/>
              <w:bottom w:val="single" w:sz="4" w:space="0" w:color="000000"/>
              <w:right w:val="single" w:sz="4" w:space="0" w:color="000000"/>
            </w:tcBorders>
            <w:shd w:val="clear" w:color="auto" w:fill="F2F2F2"/>
          </w:tcPr>
          <w:p w14:paraId="15B79B02" w14:textId="77777777" w:rsidR="00975E2E" w:rsidRDefault="00524696">
            <w:pPr>
              <w:pStyle w:val="LO-normal"/>
              <w:tabs>
                <w:tab w:val="left" w:pos="0"/>
              </w:tabs>
              <w:spacing w:line="252" w:lineRule="auto"/>
              <w:rPr>
                <w:rFonts w:ascii="Arial" w:eastAsia="Arial" w:hAnsi="Arial" w:cs="Arial"/>
                <w:b/>
                <w:color w:val="000000"/>
                <w:sz w:val="24"/>
              </w:rPr>
            </w:pPr>
            <w:r>
              <w:rPr>
                <w:rFonts w:ascii="Arial" w:eastAsia="Arial" w:hAnsi="Arial" w:cs="Arial"/>
                <w:b/>
                <w:color w:val="000000"/>
                <w:sz w:val="24"/>
              </w:rPr>
              <w:t>LPSCM Global, C</w:t>
            </w:r>
            <w:r>
              <w:rPr>
                <w:rFonts w:ascii="Arial" w:eastAsia="Arial" w:hAnsi="Arial" w:cs="Arial"/>
                <w:b/>
                <w:color w:val="000000"/>
                <w:sz w:val="24"/>
              </w:rPr>
              <w:t>entro de Servicio Global (GSC) de Budapest y Oficina de Dubai</w:t>
            </w:r>
          </w:p>
        </w:tc>
      </w:tr>
      <w:tr w:rsidR="00975E2E" w14:paraId="5E338401" w14:textId="77777777">
        <w:trPr>
          <w:trHeight w:val="633"/>
        </w:trPr>
        <w:tc>
          <w:tcPr>
            <w:tcW w:w="2610" w:type="dxa"/>
            <w:tcBorders>
              <w:top w:val="single" w:sz="4" w:space="0" w:color="000000"/>
              <w:left w:val="single" w:sz="4" w:space="0" w:color="000000"/>
              <w:bottom w:val="single" w:sz="4" w:space="0" w:color="000000"/>
              <w:right w:val="single" w:sz="4" w:space="0" w:color="000000"/>
            </w:tcBorders>
            <w:shd w:val="clear" w:color="auto" w:fill="auto"/>
          </w:tcPr>
          <w:p w14:paraId="1B73DA6E" w14:textId="77777777" w:rsidR="00975E2E" w:rsidRDefault="00524696">
            <w:pPr>
              <w:pStyle w:val="LO-normal"/>
              <w:tabs>
                <w:tab w:val="left" w:pos="0"/>
              </w:tabs>
              <w:spacing w:line="252" w:lineRule="auto"/>
              <w:rPr>
                <w:rFonts w:ascii="Arial" w:eastAsia="Arial" w:hAnsi="Arial" w:cs="Arial"/>
                <w:color w:val="000000"/>
                <w:sz w:val="24"/>
              </w:rPr>
            </w:pPr>
            <w:r>
              <w:rPr>
                <w:rFonts w:ascii="Arial" w:eastAsia="Arial" w:hAnsi="Arial" w:cs="Arial"/>
                <w:color w:val="000000"/>
                <w:sz w:val="24"/>
              </w:rPr>
              <w:t>Thierry Balloy</w:t>
            </w:r>
          </w:p>
        </w:tc>
        <w:tc>
          <w:tcPr>
            <w:tcW w:w="3207" w:type="dxa"/>
            <w:tcBorders>
              <w:top w:val="single" w:sz="4" w:space="0" w:color="000000"/>
              <w:left w:val="single" w:sz="4" w:space="0" w:color="000000"/>
              <w:bottom w:val="single" w:sz="4" w:space="0" w:color="000000"/>
              <w:right w:val="single" w:sz="4" w:space="0" w:color="000000"/>
            </w:tcBorders>
            <w:shd w:val="clear" w:color="auto" w:fill="auto"/>
          </w:tcPr>
          <w:p w14:paraId="468F61E3" w14:textId="77777777" w:rsidR="00975E2E" w:rsidRDefault="00524696">
            <w:pPr>
              <w:pStyle w:val="LO-normal"/>
              <w:tabs>
                <w:tab w:val="left" w:pos="0"/>
              </w:tabs>
              <w:spacing w:line="252" w:lineRule="auto"/>
              <w:rPr>
                <w:rFonts w:ascii="Arial" w:eastAsia="Arial" w:hAnsi="Arial" w:cs="Arial"/>
                <w:color w:val="000000"/>
                <w:sz w:val="24"/>
              </w:rPr>
            </w:pPr>
            <w:r>
              <w:rPr>
                <w:rFonts w:ascii="Arial" w:eastAsia="Arial" w:hAnsi="Arial" w:cs="Arial"/>
                <w:color w:val="000000"/>
                <w:sz w:val="24"/>
              </w:rPr>
              <w:t>Director del departamento de LPSCM</w:t>
            </w:r>
          </w:p>
        </w:tc>
        <w:tc>
          <w:tcPr>
            <w:tcW w:w="3811" w:type="dxa"/>
            <w:tcBorders>
              <w:top w:val="single" w:sz="4" w:space="0" w:color="000000"/>
              <w:left w:val="single" w:sz="4" w:space="0" w:color="000000"/>
              <w:bottom w:val="single" w:sz="4" w:space="0" w:color="000000"/>
              <w:right w:val="single" w:sz="4" w:space="0" w:color="000000"/>
            </w:tcBorders>
            <w:shd w:val="clear" w:color="auto" w:fill="auto"/>
          </w:tcPr>
          <w:p w14:paraId="05AB1696" w14:textId="77777777" w:rsidR="00975E2E" w:rsidRDefault="00524696">
            <w:pPr>
              <w:pStyle w:val="LO-normal"/>
              <w:tabs>
                <w:tab w:val="left" w:pos="0"/>
              </w:tabs>
              <w:spacing w:line="252" w:lineRule="auto"/>
            </w:pPr>
            <w:hyperlink r:id="rId23">
              <w:r>
                <w:rPr>
                  <w:rFonts w:ascii="Times New Roman" w:eastAsia="Times New Roman" w:hAnsi="Times New Roman" w:cs="Times New Roman"/>
                  <w:color w:val="0000FF"/>
                  <w:sz w:val="20"/>
                  <w:u w:val="single"/>
                </w:rPr>
                <w:t>Thierry.balloy@ifrc.org</w:t>
              </w:r>
            </w:hyperlink>
          </w:p>
          <w:p w14:paraId="0F8E3929" w14:textId="77777777" w:rsidR="00975E2E" w:rsidRDefault="00524696">
            <w:pPr>
              <w:pStyle w:val="LO-normal"/>
              <w:tabs>
                <w:tab w:val="left" w:pos="0"/>
              </w:tabs>
              <w:spacing w:line="252" w:lineRule="auto"/>
              <w:rPr>
                <w:rFonts w:ascii="Arial" w:eastAsia="Arial" w:hAnsi="Arial" w:cs="Arial"/>
                <w:color w:val="000000"/>
                <w:sz w:val="24"/>
              </w:rPr>
            </w:pPr>
            <w:r>
              <w:rPr>
                <w:rFonts w:ascii="Arial" w:eastAsia="Arial" w:hAnsi="Arial" w:cs="Arial"/>
                <w:color w:val="000000"/>
                <w:sz w:val="24"/>
              </w:rPr>
              <w:t>+41 79 844 0726</w:t>
            </w:r>
          </w:p>
        </w:tc>
      </w:tr>
      <w:tr w:rsidR="00975E2E" w14:paraId="6D69A070" w14:textId="77777777">
        <w:trPr>
          <w:trHeight w:val="1722"/>
        </w:trPr>
        <w:tc>
          <w:tcPr>
            <w:tcW w:w="2610" w:type="dxa"/>
            <w:tcBorders>
              <w:top w:val="single" w:sz="4" w:space="0" w:color="000000"/>
              <w:left w:val="single" w:sz="4" w:space="0" w:color="000000"/>
              <w:bottom w:val="single" w:sz="4" w:space="0" w:color="000000"/>
              <w:right w:val="single" w:sz="4" w:space="0" w:color="000000"/>
            </w:tcBorders>
            <w:shd w:val="clear" w:color="auto" w:fill="auto"/>
          </w:tcPr>
          <w:p w14:paraId="795BF759" w14:textId="77777777" w:rsidR="00975E2E" w:rsidRDefault="00524696">
            <w:pPr>
              <w:pStyle w:val="LO-normal"/>
              <w:tabs>
                <w:tab w:val="left" w:pos="0"/>
              </w:tabs>
              <w:spacing w:line="252" w:lineRule="auto"/>
              <w:rPr>
                <w:rFonts w:ascii="Arial" w:eastAsia="Arial" w:hAnsi="Arial" w:cs="Arial"/>
                <w:color w:val="000000"/>
                <w:sz w:val="24"/>
              </w:rPr>
            </w:pPr>
            <w:r>
              <w:rPr>
                <w:rFonts w:ascii="Arial" w:eastAsia="Arial" w:hAnsi="Arial" w:cs="Arial"/>
                <w:color w:val="000000"/>
                <w:sz w:val="24"/>
              </w:rPr>
              <w:t>Armen Petrosyan</w:t>
            </w:r>
          </w:p>
        </w:tc>
        <w:tc>
          <w:tcPr>
            <w:tcW w:w="3207" w:type="dxa"/>
            <w:tcBorders>
              <w:top w:val="single" w:sz="4" w:space="0" w:color="000000"/>
              <w:left w:val="single" w:sz="4" w:space="0" w:color="000000"/>
              <w:bottom w:val="single" w:sz="4" w:space="0" w:color="000000"/>
              <w:right w:val="single" w:sz="4" w:space="0" w:color="000000"/>
            </w:tcBorders>
            <w:shd w:val="clear" w:color="auto" w:fill="auto"/>
          </w:tcPr>
          <w:p w14:paraId="582CFB21" w14:textId="77777777" w:rsidR="00975E2E" w:rsidRDefault="00524696">
            <w:pPr>
              <w:pStyle w:val="LO-normal"/>
              <w:tabs>
                <w:tab w:val="left" w:pos="0"/>
              </w:tabs>
              <w:spacing w:line="252" w:lineRule="auto"/>
              <w:rPr>
                <w:rFonts w:ascii="Arial" w:eastAsia="Arial" w:hAnsi="Arial" w:cs="Arial"/>
                <w:color w:val="000000"/>
                <w:sz w:val="24"/>
              </w:rPr>
            </w:pPr>
            <w:r>
              <w:rPr>
                <w:rFonts w:ascii="Arial" w:eastAsia="Arial" w:hAnsi="Arial" w:cs="Arial"/>
                <w:color w:val="000000"/>
                <w:sz w:val="24"/>
              </w:rPr>
              <w:t xml:space="preserve">Asesor superior de </w:t>
            </w:r>
            <w:r>
              <w:rPr>
                <w:rFonts w:ascii="Arial" w:eastAsia="Arial" w:hAnsi="Arial" w:cs="Arial"/>
                <w:color w:val="000000"/>
                <w:sz w:val="24"/>
              </w:rPr>
              <w:t>conformidad global.</w:t>
            </w:r>
          </w:p>
          <w:p w14:paraId="50AB0D1C" w14:textId="77777777" w:rsidR="00975E2E" w:rsidRDefault="00524696">
            <w:pPr>
              <w:pStyle w:val="LO-normal"/>
              <w:tabs>
                <w:tab w:val="left" w:pos="0"/>
              </w:tabs>
              <w:spacing w:line="252" w:lineRule="auto"/>
              <w:rPr>
                <w:rFonts w:ascii="Arial" w:eastAsia="Arial" w:hAnsi="Arial" w:cs="Arial"/>
                <w:color w:val="000000"/>
                <w:sz w:val="24"/>
              </w:rPr>
            </w:pPr>
            <w:r>
              <w:rPr>
                <w:rFonts w:ascii="Arial" w:eastAsia="Arial" w:hAnsi="Arial" w:cs="Arial"/>
                <w:color w:val="000000"/>
                <w:sz w:val="24"/>
              </w:rPr>
              <w:t>Jefe de operaciones globales de LPSCM de la OIC.</w:t>
            </w:r>
          </w:p>
          <w:p w14:paraId="4D22C922" w14:textId="77777777" w:rsidR="00975E2E" w:rsidRDefault="00524696">
            <w:pPr>
              <w:pStyle w:val="LO-normal"/>
              <w:tabs>
                <w:tab w:val="left" w:pos="0"/>
              </w:tabs>
              <w:spacing w:line="252" w:lineRule="auto"/>
              <w:rPr>
                <w:rFonts w:ascii="Arial" w:eastAsia="Arial" w:hAnsi="Arial" w:cs="Arial"/>
                <w:color w:val="000000"/>
                <w:sz w:val="24"/>
              </w:rPr>
            </w:pPr>
            <w:r>
              <w:rPr>
                <w:rFonts w:ascii="Arial" w:eastAsia="Arial" w:hAnsi="Arial" w:cs="Arial"/>
                <w:color w:val="000000"/>
                <w:sz w:val="24"/>
              </w:rPr>
              <w:t>Jefe del equipo de abastecimiento estratégico global de la OIC.</w:t>
            </w:r>
          </w:p>
        </w:tc>
        <w:tc>
          <w:tcPr>
            <w:tcW w:w="3811" w:type="dxa"/>
            <w:tcBorders>
              <w:top w:val="single" w:sz="4" w:space="0" w:color="000000"/>
              <w:left w:val="single" w:sz="4" w:space="0" w:color="000000"/>
              <w:bottom w:val="single" w:sz="4" w:space="0" w:color="000000"/>
              <w:right w:val="single" w:sz="4" w:space="0" w:color="000000"/>
            </w:tcBorders>
            <w:shd w:val="clear" w:color="auto" w:fill="auto"/>
          </w:tcPr>
          <w:p w14:paraId="4A8AEEA6" w14:textId="77777777" w:rsidR="00975E2E" w:rsidRDefault="00524696">
            <w:pPr>
              <w:pStyle w:val="LO-normal"/>
              <w:tabs>
                <w:tab w:val="left" w:pos="0"/>
              </w:tabs>
              <w:spacing w:line="252" w:lineRule="auto"/>
            </w:pPr>
            <w:hyperlink r:id="rId24">
              <w:r>
                <w:rPr>
                  <w:rFonts w:ascii="Times New Roman" w:eastAsia="Times New Roman" w:hAnsi="Times New Roman" w:cs="Times New Roman"/>
                  <w:color w:val="0000FF"/>
                  <w:sz w:val="20"/>
                  <w:u w:val="single"/>
                </w:rPr>
                <w:t>Armen.petrosyan@ifrc.org</w:t>
              </w:r>
            </w:hyperlink>
          </w:p>
          <w:p w14:paraId="4EF23337" w14:textId="77777777" w:rsidR="00975E2E" w:rsidRDefault="00524696">
            <w:pPr>
              <w:pStyle w:val="LO-normal"/>
              <w:tabs>
                <w:tab w:val="left" w:pos="0"/>
              </w:tabs>
              <w:spacing w:line="252" w:lineRule="auto"/>
              <w:rPr>
                <w:rFonts w:ascii="Arial" w:eastAsia="Arial" w:hAnsi="Arial" w:cs="Arial"/>
                <w:color w:val="000000"/>
                <w:sz w:val="24"/>
              </w:rPr>
            </w:pPr>
            <w:r>
              <w:rPr>
                <w:rFonts w:ascii="Arial" w:eastAsia="Arial" w:hAnsi="Arial" w:cs="Arial"/>
                <w:color w:val="000000"/>
                <w:sz w:val="24"/>
              </w:rPr>
              <w:t>+41 79 217 3378</w:t>
            </w:r>
          </w:p>
          <w:p w14:paraId="3CA3A7D0" w14:textId="77777777" w:rsidR="00975E2E" w:rsidRDefault="00975E2E">
            <w:pPr>
              <w:pStyle w:val="LO-normal"/>
              <w:tabs>
                <w:tab w:val="left" w:pos="0"/>
              </w:tabs>
              <w:spacing w:line="252" w:lineRule="auto"/>
              <w:rPr>
                <w:rFonts w:ascii="Arial" w:eastAsia="Arial" w:hAnsi="Arial" w:cs="Arial"/>
                <w:color w:val="000000"/>
                <w:sz w:val="24"/>
              </w:rPr>
            </w:pPr>
          </w:p>
        </w:tc>
      </w:tr>
      <w:tr w:rsidR="00975E2E" w14:paraId="18F88D7E" w14:textId="77777777">
        <w:tc>
          <w:tcPr>
            <w:tcW w:w="2610" w:type="dxa"/>
            <w:tcBorders>
              <w:top w:val="single" w:sz="4" w:space="0" w:color="000000"/>
              <w:left w:val="single" w:sz="4" w:space="0" w:color="000000"/>
              <w:bottom w:val="single" w:sz="4" w:space="0" w:color="000000"/>
              <w:right w:val="single" w:sz="4" w:space="0" w:color="000000"/>
            </w:tcBorders>
            <w:shd w:val="clear" w:color="auto" w:fill="auto"/>
          </w:tcPr>
          <w:p w14:paraId="083CECA4" w14:textId="77777777" w:rsidR="00975E2E" w:rsidRDefault="00524696">
            <w:pPr>
              <w:pStyle w:val="LO-normal"/>
              <w:tabs>
                <w:tab w:val="left" w:pos="0"/>
              </w:tabs>
              <w:spacing w:line="252" w:lineRule="auto"/>
              <w:rPr>
                <w:rFonts w:ascii="Arial" w:eastAsia="Arial" w:hAnsi="Arial" w:cs="Arial"/>
                <w:color w:val="000000"/>
                <w:sz w:val="24"/>
              </w:rPr>
            </w:pPr>
            <w:r>
              <w:rPr>
                <w:rFonts w:ascii="Arial" w:eastAsia="Arial" w:hAnsi="Arial" w:cs="Arial"/>
                <w:color w:val="000000"/>
                <w:sz w:val="24"/>
              </w:rPr>
              <w:t xml:space="preserve">Melinda </w:t>
            </w:r>
            <w:proofErr w:type="spellStart"/>
            <w:r>
              <w:rPr>
                <w:rFonts w:ascii="Arial" w:eastAsia="Arial" w:hAnsi="Arial" w:cs="Arial"/>
                <w:color w:val="000000"/>
                <w:sz w:val="24"/>
              </w:rPr>
              <w:t>Orosz</w:t>
            </w:r>
            <w:proofErr w:type="spellEnd"/>
          </w:p>
        </w:tc>
        <w:tc>
          <w:tcPr>
            <w:tcW w:w="3207" w:type="dxa"/>
            <w:tcBorders>
              <w:top w:val="single" w:sz="4" w:space="0" w:color="000000"/>
              <w:left w:val="single" w:sz="4" w:space="0" w:color="000000"/>
              <w:bottom w:val="single" w:sz="4" w:space="0" w:color="000000"/>
              <w:right w:val="single" w:sz="4" w:space="0" w:color="000000"/>
            </w:tcBorders>
            <w:shd w:val="clear" w:color="auto" w:fill="auto"/>
          </w:tcPr>
          <w:p w14:paraId="244EFE1C" w14:textId="77777777" w:rsidR="00975E2E" w:rsidRDefault="00524696">
            <w:pPr>
              <w:pStyle w:val="LO-normal"/>
              <w:tabs>
                <w:tab w:val="left" w:pos="0"/>
              </w:tabs>
              <w:spacing w:line="252" w:lineRule="auto"/>
              <w:rPr>
                <w:rFonts w:ascii="Arial" w:eastAsia="Arial" w:hAnsi="Arial" w:cs="Arial"/>
                <w:color w:val="000000"/>
                <w:sz w:val="24"/>
              </w:rPr>
            </w:pPr>
            <w:r>
              <w:rPr>
                <w:rFonts w:ascii="Arial" w:eastAsia="Arial" w:hAnsi="Arial" w:cs="Arial"/>
                <w:color w:val="000000"/>
                <w:sz w:val="24"/>
              </w:rPr>
              <w:t xml:space="preserve">Gerente de </w:t>
            </w:r>
            <w:r>
              <w:rPr>
                <w:rFonts w:ascii="Arial" w:eastAsia="Arial" w:hAnsi="Arial" w:cs="Arial"/>
                <w:color w:val="000000"/>
                <w:sz w:val="24"/>
              </w:rPr>
              <w:t>LPSCM operativa del GSC de Budapest</w:t>
            </w:r>
          </w:p>
        </w:tc>
        <w:tc>
          <w:tcPr>
            <w:tcW w:w="3811" w:type="dxa"/>
            <w:tcBorders>
              <w:top w:val="single" w:sz="4" w:space="0" w:color="000000"/>
              <w:left w:val="single" w:sz="4" w:space="0" w:color="000000"/>
              <w:bottom w:val="single" w:sz="4" w:space="0" w:color="000000"/>
              <w:right w:val="single" w:sz="4" w:space="0" w:color="000000"/>
            </w:tcBorders>
            <w:shd w:val="clear" w:color="auto" w:fill="auto"/>
          </w:tcPr>
          <w:p w14:paraId="05774A4C" w14:textId="77777777" w:rsidR="00975E2E" w:rsidRDefault="00524696">
            <w:pPr>
              <w:pStyle w:val="LO-normal"/>
              <w:tabs>
                <w:tab w:val="left" w:pos="0"/>
              </w:tabs>
            </w:pPr>
            <w:hyperlink r:id="rId25">
              <w:r>
                <w:rPr>
                  <w:rFonts w:ascii="Times New Roman" w:eastAsia="Times New Roman" w:hAnsi="Times New Roman" w:cs="Times New Roman"/>
                  <w:color w:val="0000FF"/>
                  <w:sz w:val="20"/>
                  <w:u w:val="single"/>
                </w:rPr>
                <w:t>melinda.vecseineorosz@ifrc.org</w:t>
              </w:r>
            </w:hyperlink>
            <w:r>
              <w:rPr>
                <w:rFonts w:ascii="Times New Roman" w:eastAsia="Times New Roman" w:hAnsi="Times New Roman" w:cs="Times New Roman"/>
                <w:color w:val="000000"/>
                <w:sz w:val="20"/>
              </w:rPr>
              <w:t> </w:t>
            </w:r>
          </w:p>
          <w:p w14:paraId="4C69FC15" w14:textId="77777777" w:rsidR="00975E2E" w:rsidRDefault="00524696">
            <w:pPr>
              <w:pStyle w:val="LO-normal"/>
              <w:tabs>
                <w:tab w:val="left" w:pos="0"/>
              </w:tabs>
              <w:rPr>
                <w:rFonts w:ascii="Arial" w:eastAsia="Arial" w:hAnsi="Arial" w:cs="Arial"/>
                <w:sz w:val="24"/>
              </w:rPr>
            </w:pPr>
            <w:r>
              <w:rPr>
                <w:rFonts w:ascii="Arial" w:eastAsia="Arial" w:hAnsi="Arial" w:cs="Arial"/>
                <w:color w:val="000000"/>
                <w:sz w:val="24"/>
              </w:rPr>
              <w:t>+36 70 430 6538 </w:t>
            </w:r>
          </w:p>
        </w:tc>
      </w:tr>
      <w:tr w:rsidR="00975E2E" w14:paraId="683D2184" w14:textId="77777777">
        <w:trPr>
          <w:trHeight w:val="857"/>
        </w:trPr>
        <w:tc>
          <w:tcPr>
            <w:tcW w:w="2610" w:type="dxa"/>
            <w:tcBorders>
              <w:top w:val="single" w:sz="4" w:space="0" w:color="000000"/>
              <w:left w:val="single" w:sz="4" w:space="0" w:color="000000"/>
              <w:bottom w:val="single" w:sz="4" w:space="0" w:color="000000"/>
              <w:right w:val="single" w:sz="4" w:space="0" w:color="000000"/>
            </w:tcBorders>
            <w:shd w:val="clear" w:color="auto" w:fill="auto"/>
          </w:tcPr>
          <w:p w14:paraId="1258E8C7" w14:textId="77777777" w:rsidR="00975E2E" w:rsidRDefault="00524696">
            <w:pPr>
              <w:pStyle w:val="LO-normal"/>
              <w:tabs>
                <w:tab w:val="left" w:pos="0"/>
              </w:tabs>
              <w:spacing w:line="252" w:lineRule="auto"/>
              <w:rPr>
                <w:rFonts w:ascii="Arial" w:eastAsia="Arial" w:hAnsi="Arial" w:cs="Arial"/>
                <w:color w:val="000000"/>
                <w:sz w:val="24"/>
              </w:rPr>
            </w:pPr>
            <w:r>
              <w:rPr>
                <w:rFonts w:ascii="Arial" w:eastAsia="Arial" w:hAnsi="Arial" w:cs="Arial"/>
                <w:color w:val="000000"/>
                <w:sz w:val="24"/>
              </w:rPr>
              <w:t xml:space="preserve">Goran </w:t>
            </w:r>
            <w:proofErr w:type="spellStart"/>
            <w:r>
              <w:rPr>
                <w:rFonts w:ascii="Arial" w:eastAsia="Arial" w:hAnsi="Arial" w:cs="Arial"/>
                <w:color w:val="000000"/>
                <w:sz w:val="24"/>
              </w:rPr>
              <w:t>Boljanovic</w:t>
            </w:r>
            <w:proofErr w:type="spellEnd"/>
          </w:p>
        </w:tc>
        <w:tc>
          <w:tcPr>
            <w:tcW w:w="3207" w:type="dxa"/>
            <w:tcBorders>
              <w:top w:val="single" w:sz="4" w:space="0" w:color="000000"/>
              <w:left w:val="single" w:sz="4" w:space="0" w:color="000000"/>
              <w:bottom w:val="single" w:sz="4" w:space="0" w:color="000000"/>
              <w:right w:val="single" w:sz="4" w:space="0" w:color="000000"/>
            </w:tcBorders>
            <w:shd w:val="clear" w:color="auto" w:fill="auto"/>
          </w:tcPr>
          <w:p w14:paraId="77E6D123" w14:textId="77777777" w:rsidR="00975E2E" w:rsidRDefault="00524696">
            <w:pPr>
              <w:pStyle w:val="LO-normal"/>
              <w:tabs>
                <w:tab w:val="left" w:pos="0"/>
              </w:tabs>
              <w:spacing w:line="252" w:lineRule="auto"/>
              <w:rPr>
                <w:rFonts w:ascii="Arial" w:eastAsia="Arial" w:hAnsi="Arial" w:cs="Arial"/>
                <w:color w:val="000000"/>
                <w:sz w:val="24"/>
              </w:rPr>
            </w:pPr>
            <w:r>
              <w:rPr>
                <w:rFonts w:ascii="Arial" w:eastAsia="Arial" w:hAnsi="Arial" w:cs="Arial"/>
                <w:color w:val="000000"/>
                <w:sz w:val="24"/>
              </w:rPr>
              <w:t>Oficial superior de adquisiciones de LPSCM operativa del GSC de Budapest</w:t>
            </w:r>
          </w:p>
        </w:tc>
        <w:tc>
          <w:tcPr>
            <w:tcW w:w="3811" w:type="dxa"/>
            <w:tcBorders>
              <w:top w:val="single" w:sz="4" w:space="0" w:color="000000"/>
              <w:left w:val="single" w:sz="4" w:space="0" w:color="000000"/>
              <w:bottom w:val="single" w:sz="4" w:space="0" w:color="000000"/>
              <w:right w:val="single" w:sz="4" w:space="0" w:color="000000"/>
            </w:tcBorders>
            <w:shd w:val="clear" w:color="auto" w:fill="auto"/>
          </w:tcPr>
          <w:p w14:paraId="6CF22A6B" w14:textId="77777777" w:rsidR="00975E2E" w:rsidRDefault="00524696">
            <w:pPr>
              <w:pStyle w:val="LO-normal"/>
              <w:tabs>
                <w:tab w:val="left" w:pos="0"/>
              </w:tabs>
              <w:spacing w:line="252" w:lineRule="auto"/>
            </w:pPr>
            <w:hyperlink r:id="rId26">
              <w:r>
                <w:rPr>
                  <w:rFonts w:ascii="Times New Roman" w:eastAsia="Times New Roman" w:hAnsi="Times New Roman" w:cs="Times New Roman"/>
                  <w:color w:val="0000FF"/>
                  <w:sz w:val="20"/>
                  <w:u w:val="single"/>
                </w:rPr>
                <w:t>goran.boljanovic@ifrc.org</w:t>
              </w:r>
            </w:hyperlink>
          </w:p>
          <w:p w14:paraId="21522AB5" w14:textId="77777777" w:rsidR="00975E2E" w:rsidRDefault="00524696">
            <w:pPr>
              <w:pStyle w:val="LO-normal"/>
              <w:tabs>
                <w:tab w:val="left" w:pos="0"/>
              </w:tabs>
              <w:spacing w:line="252" w:lineRule="auto"/>
              <w:rPr>
                <w:rFonts w:ascii="Arial" w:eastAsia="Arial" w:hAnsi="Arial" w:cs="Arial"/>
                <w:color w:val="000000"/>
                <w:sz w:val="24"/>
              </w:rPr>
            </w:pPr>
            <w:r>
              <w:rPr>
                <w:rFonts w:ascii="Arial" w:eastAsia="Arial" w:hAnsi="Arial" w:cs="Arial"/>
                <w:color w:val="000000"/>
                <w:sz w:val="24"/>
              </w:rPr>
              <w:t>+36 70 430 6505</w:t>
            </w:r>
          </w:p>
        </w:tc>
      </w:tr>
      <w:tr w:rsidR="00975E2E" w14:paraId="041CCD5C" w14:textId="77777777">
        <w:tc>
          <w:tcPr>
            <w:tcW w:w="2610" w:type="dxa"/>
            <w:tcBorders>
              <w:top w:val="single" w:sz="4" w:space="0" w:color="000000"/>
              <w:left w:val="single" w:sz="4" w:space="0" w:color="000000"/>
              <w:bottom w:val="single" w:sz="4" w:space="0" w:color="000000"/>
              <w:right w:val="single" w:sz="4" w:space="0" w:color="000000"/>
            </w:tcBorders>
            <w:shd w:val="clear" w:color="auto" w:fill="auto"/>
          </w:tcPr>
          <w:p w14:paraId="0C3BB4E6" w14:textId="77777777" w:rsidR="00975E2E" w:rsidRDefault="00524696">
            <w:pPr>
              <w:pStyle w:val="LO-normal"/>
              <w:tabs>
                <w:tab w:val="left" w:pos="0"/>
              </w:tabs>
              <w:spacing w:line="252" w:lineRule="auto"/>
              <w:rPr>
                <w:rFonts w:ascii="Arial" w:eastAsia="Arial" w:hAnsi="Arial" w:cs="Arial"/>
                <w:color w:val="000000"/>
                <w:sz w:val="24"/>
              </w:rPr>
            </w:pPr>
            <w:r>
              <w:rPr>
                <w:rFonts w:ascii="Arial" w:eastAsia="Arial" w:hAnsi="Arial" w:cs="Arial"/>
                <w:color w:val="000000"/>
                <w:sz w:val="24"/>
              </w:rPr>
              <w:t xml:space="preserve">Ilir </w:t>
            </w:r>
            <w:proofErr w:type="spellStart"/>
            <w:r>
              <w:rPr>
                <w:rFonts w:ascii="Arial" w:eastAsia="Arial" w:hAnsi="Arial" w:cs="Arial"/>
                <w:color w:val="000000"/>
                <w:sz w:val="24"/>
              </w:rPr>
              <w:t>Caushaj</w:t>
            </w:r>
            <w:proofErr w:type="spellEnd"/>
          </w:p>
        </w:tc>
        <w:tc>
          <w:tcPr>
            <w:tcW w:w="3207" w:type="dxa"/>
            <w:tcBorders>
              <w:top w:val="single" w:sz="4" w:space="0" w:color="000000"/>
              <w:left w:val="single" w:sz="4" w:space="0" w:color="000000"/>
              <w:bottom w:val="single" w:sz="4" w:space="0" w:color="000000"/>
              <w:right w:val="single" w:sz="4" w:space="0" w:color="000000"/>
            </w:tcBorders>
            <w:shd w:val="clear" w:color="auto" w:fill="auto"/>
          </w:tcPr>
          <w:p w14:paraId="69979D44" w14:textId="77777777" w:rsidR="00975E2E" w:rsidRDefault="00524696">
            <w:pPr>
              <w:pStyle w:val="LO-normal"/>
              <w:tabs>
                <w:tab w:val="left" w:pos="0"/>
              </w:tabs>
              <w:spacing w:line="252" w:lineRule="auto"/>
              <w:rPr>
                <w:rFonts w:ascii="Arial" w:eastAsia="Arial" w:hAnsi="Arial" w:cs="Arial"/>
                <w:color w:val="000000"/>
                <w:sz w:val="24"/>
              </w:rPr>
            </w:pPr>
            <w:r>
              <w:rPr>
                <w:rFonts w:ascii="Arial" w:eastAsia="Arial" w:hAnsi="Arial" w:cs="Arial"/>
                <w:color w:val="000000"/>
                <w:sz w:val="24"/>
              </w:rPr>
              <w:t>Jefe de oficina de Dubai / Flota global</w:t>
            </w:r>
          </w:p>
        </w:tc>
        <w:tc>
          <w:tcPr>
            <w:tcW w:w="3811" w:type="dxa"/>
            <w:tcBorders>
              <w:top w:val="single" w:sz="4" w:space="0" w:color="000000"/>
              <w:left w:val="single" w:sz="4" w:space="0" w:color="000000"/>
              <w:bottom w:val="single" w:sz="4" w:space="0" w:color="000000"/>
              <w:right w:val="single" w:sz="4" w:space="0" w:color="000000"/>
            </w:tcBorders>
            <w:shd w:val="clear" w:color="auto" w:fill="auto"/>
          </w:tcPr>
          <w:p w14:paraId="78791F01" w14:textId="77777777" w:rsidR="00975E2E" w:rsidRDefault="00524696">
            <w:pPr>
              <w:pStyle w:val="LO-normal"/>
              <w:tabs>
                <w:tab w:val="left" w:pos="0"/>
              </w:tabs>
              <w:spacing w:line="252" w:lineRule="auto"/>
            </w:pPr>
            <w:hyperlink r:id="rId27">
              <w:r>
                <w:rPr>
                  <w:rFonts w:ascii="Times New Roman" w:eastAsia="Times New Roman" w:hAnsi="Times New Roman" w:cs="Times New Roman"/>
                  <w:color w:val="0000FF"/>
                  <w:sz w:val="20"/>
                  <w:u w:val="single"/>
                </w:rPr>
                <w:t>Ilir.CAUSHAJ@ifrc.org</w:t>
              </w:r>
            </w:hyperlink>
            <w:r>
              <w:rPr>
                <w:rFonts w:ascii="Times New Roman" w:eastAsia="Times New Roman" w:hAnsi="Times New Roman" w:cs="Times New Roman"/>
                <w:color w:val="000000"/>
                <w:sz w:val="20"/>
              </w:rPr>
              <w:t xml:space="preserve"> </w:t>
            </w:r>
          </w:p>
          <w:p w14:paraId="59A75961" w14:textId="77777777" w:rsidR="00975E2E" w:rsidRDefault="00524696">
            <w:pPr>
              <w:pStyle w:val="LO-normal"/>
              <w:tabs>
                <w:tab w:val="left" w:pos="0"/>
              </w:tabs>
              <w:spacing w:line="252" w:lineRule="auto"/>
              <w:rPr>
                <w:rFonts w:ascii="Arial" w:eastAsia="Arial" w:hAnsi="Arial" w:cs="Arial"/>
                <w:color w:val="000000"/>
                <w:sz w:val="24"/>
              </w:rPr>
            </w:pPr>
            <w:r>
              <w:rPr>
                <w:rFonts w:ascii="Arial" w:eastAsia="Arial" w:hAnsi="Arial" w:cs="Arial"/>
                <w:color w:val="000000"/>
                <w:sz w:val="24"/>
              </w:rPr>
              <w:t>+971 52 993 3589</w:t>
            </w:r>
          </w:p>
        </w:tc>
      </w:tr>
      <w:tr w:rsidR="00975E2E" w14:paraId="55515186" w14:textId="77777777">
        <w:tc>
          <w:tcPr>
            <w:tcW w:w="9628" w:type="dxa"/>
            <w:gridSpan w:val="3"/>
            <w:tcBorders>
              <w:top w:val="single" w:sz="4" w:space="0" w:color="000000"/>
              <w:left w:val="single" w:sz="4" w:space="0" w:color="000000"/>
              <w:bottom w:val="single" w:sz="4" w:space="0" w:color="000000"/>
              <w:right w:val="single" w:sz="4" w:space="0" w:color="000000"/>
            </w:tcBorders>
            <w:shd w:val="clear" w:color="auto" w:fill="F2F2F2"/>
          </w:tcPr>
          <w:p w14:paraId="5FFF0435" w14:textId="77777777" w:rsidR="00975E2E" w:rsidRDefault="00524696">
            <w:pPr>
              <w:pStyle w:val="LO-normal"/>
              <w:tabs>
                <w:tab w:val="left" w:pos="0"/>
              </w:tabs>
              <w:spacing w:line="252" w:lineRule="auto"/>
              <w:rPr>
                <w:rFonts w:ascii="Arial" w:eastAsia="Arial" w:hAnsi="Arial" w:cs="Arial"/>
                <w:b/>
                <w:color w:val="000000"/>
                <w:sz w:val="24"/>
              </w:rPr>
            </w:pPr>
            <w:r>
              <w:rPr>
                <w:rFonts w:ascii="Arial" w:eastAsia="Arial" w:hAnsi="Arial" w:cs="Arial"/>
                <w:b/>
                <w:color w:val="000000"/>
                <w:sz w:val="24"/>
              </w:rPr>
              <w:lastRenderedPageBreak/>
              <w:t xml:space="preserve">Soporte a las </w:t>
            </w:r>
            <w:r>
              <w:rPr>
                <w:rFonts w:ascii="Arial" w:eastAsia="Arial" w:hAnsi="Arial" w:cs="Arial"/>
                <w:b/>
                <w:color w:val="000000"/>
                <w:sz w:val="24"/>
              </w:rPr>
              <w:t>operaciones de COVID-19</w:t>
            </w:r>
          </w:p>
        </w:tc>
      </w:tr>
      <w:tr w:rsidR="00975E2E" w14:paraId="316E5796" w14:textId="77777777">
        <w:tc>
          <w:tcPr>
            <w:tcW w:w="2610" w:type="dxa"/>
            <w:tcBorders>
              <w:top w:val="single" w:sz="4" w:space="0" w:color="000000"/>
              <w:left w:val="single" w:sz="4" w:space="0" w:color="000000"/>
              <w:bottom w:val="single" w:sz="4" w:space="0" w:color="000000"/>
              <w:right w:val="single" w:sz="4" w:space="0" w:color="000000"/>
            </w:tcBorders>
            <w:shd w:val="clear" w:color="auto" w:fill="auto"/>
          </w:tcPr>
          <w:p w14:paraId="2BB16D94" w14:textId="77777777" w:rsidR="00975E2E" w:rsidRDefault="00524696">
            <w:pPr>
              <w:pStyle w:val="LO-normal"/>
              <w:tabs>
                <w:tab w:val="left" w:pos="0"/>
              </w:tabs>
              <w:spacing w:line="252" w:lineRule="auto"/>
              <w:rPr>
                <w:rFonts w:ascii="Arial" w:eastAsia="Arial" w:hAnsi="Arial" w:cs="Arial"/>
                <w:color w:val="000000"/>
                <w:sz w:val="24"/>
              </w:rPr>
            </w:pPr>
            <w:proofErr w:type="spellStart"/>
            <w:r>
              <w:rPr>
                <w:rFonts w:ascii="Arial" w:eastAsia="Arial" w:hAnsi="Arial" w:cs="Arial"/>
                <w:color w:val="000000"/>
                <w:sz w:val="24"/>
              </w:rPr>
              <w:t>Cornelis</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Dees</w:t>
            </w:r>
            <w:proofErr w:type="spellEnd"/>
          </w:p>
        </w:tc>
        <w:tc>
          <w:tcPr>
            <w:tcW w:w="3207" w:type="dxa"/>
            <w:tcBorders>
              <w:top w:val="single" w:sz="4" w:space="0" w:color="000000"/>
              <w:left w:val="single" w:sz="4" w:space="0" w:color="000000"/>
              <w:bottom w:val="single" w:sz="4" w:space="0" w:color="000000"/>
              <w:right w:val="single" w:sz="4" w:space="0" w:color="000000"/>
            </w:tcBorders>
            <w:shd w:val="clear" w:color="auto" w:fill="auto"/>
          </w:tcPr>
          <w:p w14:paraId="50C58FD2" w14:textId="77777777" w:rsidR="00975E2E" w:rsidRDefault="00524696">
            <w:pPr>
              <w:pStyle w:val="LO-normal"/>
              <w:tabs>
                <w:tab w:val="left" w:pos="0"/>
              </w:tabs>
              <w:spacing w:line="252" w:lineRule="auto"/>
              <w:rPr>
                <w:rFonts w:ascii="Arial" w:eastAsia="Arial" w:hAnsi="Arial" w:cs="Arial"/>
                <w:color w:val="000000"/>
                <w:sz w:val="24"/>
              </w:rPr>
            </w:pPr>
            <w:r>
              <w:rPr>
                <w:rFonts w:ascii="Arial" w:eastAsia="Arial" w:hAnsi="Arial" w:cs="Arial"/>
                <w:color w:val="000000"/>
                <w:sz w:val="24"/>
              </w:rPr>
              <w:t>Logística médica para el control de calidad de suministros</w:t>
            </w:r>
          </w:p>
        </w:tc>
        <w:tc>
          <w:tcPr>
            <w:tcW w:w="3811" w:type="dxa"/>
            <w:tcBorders>
              <w:top w:val="single" w:sz="4" w:space="0" w:color="000000"/>
              <w:left w:val="single" w:sz="4" w:space="0" w:color="000000"/>
              <w:bottom w:val="single" w:sz="4" w:space="0" w:color="000000"/>
              <w:right w:val="single" w:sz="4" w:space="0" w:color="000000"/>
            </w:tcBorders>
            <w:shd w:val="clear" w:color="auto" w:fill="auto"/>
          </w:tcPr>
          <w:p w14:paraId="462B48F3" w14:textId="77777777" w:rsidR="00975E2E" w:rsidRDefault="00524696">
            <w:pPr>
              <w:pStyle w:val="LO-normal"/>
              <w:tabs>
                <w:tab w:val="left" w:pos="0"/>
              </w:tabs>
              <w:spacing w:line="252" w:lineRule="auto"/>
            </w:pPr>
            <w:hyperlink r:id="rId28">
              <w:r>
                <w:rPr>
                  <w:rFonts w:ascii="Times New Roman" w:eastAsia="Times New Roman" w:hAnsi="Times New Roman" w:cs="Times New Roman"/>
                  <w:color w:val="0000FF"/>
                  <w:sz w:val="20"/>
                  <w:u w:val="single"/>
                </w:rPr>
                <w:t>Medicallog.GVA@ifrc.org</w:t>
              </w:r>
            </w:hyperlink>
            <w:r>
              <w:rPr>
                <w:rFonts w:ascii="Times New Roman" w:eastAsia="Times New Roman" w:hAnsi="Times New Roman" w:cs="Times New Roman"/>
                <w:color w:val="000000"/>
                <w:sz w:val="20"/>
              </w:rPr>
              <w:t xml:space="preserve"> </w:t>
            </w:r>
          </w:p>
          <w:p w14:paraId="059A6E12" w14:textId="77777777" w:rsidR="00975E2E" w:rsidRDefault="00524696">
            <w:pPr>
              <w:pStyle w:val="LO-normal"/>
              <w:tabs>
                <w:tab w:val="left" w:pos="0"/>
              </w:tabs>
              <w:rPr>
                <w:rFonts w:ascii="Arial" w:eastAsia="Arial" w:hAnsi="Arial" w:cs="Arial"/>
                <w:sz w:val="24"/>
              </w:rPr>
            </w:pPr>
            <w:r>
              <w:rPr>
                <w:rFonts w:ascii="Arial" w:eastAsia="Arial" w:hAnsi="Arial" w:cs="Arial"/>
                <w:sz w:val="24"/>
              </w:rPr>
              <w:t>+41 779491911</w:t>
            </w:r>
          </w:p>
          <w:p w14:paraId="107D4936" w14:textId="77777777" w:rsidR="00975E2E" w:rsidRDefault="00524696">
            <w:pPr>
              <w:pStyle w:val="LO-normal"/>
              <w:tabs>
                <w:tab w:val="left" w:pos="0"/>
              </w:tabs>
              <w:rPr>
                <w:rFonts w:ascii="Arial" w:eastAsia="Arial" w:hAnsi="Arial" w:cs="Arial"/>
                <w:sz w:val="24"/>
              </w:rPr>
            </w:pPr>
            <w:r>
              <w:rPr>
                <w:rFonts w:ascii="Arial" w:eastAsia="Arial" w:hAnsi="Arial" w:cs="Arial"/>
                <w:sz w:val="24"/>
              </w:rPr>
              <w:t>+44 79 2029 5294</w:t>
            </w:r>
          </w:p>
        </w:tc>
      </w:tr>
      <w:tr w:rsidR="00975E2E" w14:paraId="61D647C2" w14:textId="77777777">
        <w:trPr>
          <w:trHeight w:val="444"/>
        </w:trPr>
        <w:tc>
          <w:tcPr>
            <w:tcW w:w="2610" w:type="dxa"/>
            <w:tcBorders>
              <w:top w:val="single" w:sz="4" w:space="0" w:color="000000"/>
              <w:left w:val="single" w:sz="4" w:space="0" w:color="000000"/>
              <w:bottom w:val="single" w:sz="4" w:space="0" w:color="000000"/>
              <w:right w:val="single" w:sz="4" w:space="0" w:color="000000"/>
            </w:tcBorders>
            <w:shd w:val="clear" w:color="auto" w:fill="auto"/>
          </w:tcPr>
          <w:p w14:paraId="7122ED75" w14:textId="77777777" w:rsidR="00975E2E" w:rsidRDefault="00524696">
            <w:pPr>
              <w:pStyle w:val="LO-normal"/>
              <w:tabs>
                <w:tab w:val="left" w:pos="0"/>
              </w:tabs>
              <w:spacing w:line="252" w:lineRule="auto"/>
              <w:rPr>
                <w:rFonts w:ascii="Arial" w:eastAsia="Arial" w:hAnsi="Arial" w:cs="Arial"/>
                <w:color w:val="000000"/>
                <w:sz w:val="24"/>
              </w:rPr>
            </w:pPr>
            <w:r>
              <w:rPr>
                <w:rFonts w:ascii="Arial" w:eastAsia="Arial" w:hAnsi="Arial" w:cs="Arial"/>
                <w:color w:val="000000"/>
                <w:sz w:val="24"/>
              </w:rPr>
              <w:t xml:space="preserve">Benjamin </w:t>
            </w:r>
            <w:proofErr w:type="spellStart"/>
            <w:r>
              <w:rPr>
                <w:rFonts w:ascii="Arial" w:eastAsia="Arial" w:hAnsi="Arial" w:cs="Arial"/>
                <w:color w:val="000000"/>
                <w:sz w:val="24"/>
              </w:rPr>
              <w:t>Labit</w:t>
            </w:r>
            <w:proofErr w:type="spellEnd"/>
          </w:p>
        </w:tc>
        <w:tc>
          <w:tcPr>
            <w:tcW w:w="3207" w:type="dxa"/>
            <w:tcBorders>
              <w:top w:val="single" w:sz="4" w:space="0" w:color="000000"/>
              <w:left w:val="single" w:sz="4" w:space="0" w:color="000000"/>
              <w:bottom w:val="single" w:sz="4" w:space="0" w:color="000000"/>
              <w:right w:val="single" w:sz="4" w:space="0" w:color="000000"/>
            </w:tcBorders>
            <w:shd w:val="clear" w:color="auto" w:fill="auto"/>
          </w:tcPr>
          <w:p w14:paraId="63FC84C8" w14:textId="77777777" w:rsidR="00975E2E" w:rsidRDefault="00524696">
            <w:pPr>
              <w:pStyle w:val="LO-normal"/>
              <w:tabs>
                <w:tab w:val="left" w:pos="0"/>
              </w:tabs>
              <w:spacing w:line="252" w:lineRule="auto"/>
              <w:rPr>
                <w:rFonts w:ascii="Arial" w:eastAsia="Arial" w:hAnsi="Arial" w:cs="Arial"/>
                <w:color w:val="000000"/>
                <w:sz w:val="24"/>
              </w:rPr>
            </w:pPr>
            <w:r>
              <w:rPr>
                <w:rFonts w:ascii="Arial" w:eastAsia="Arial" w:hAnsi="Arial" w:cs="Arial"/>
                <w:color w:val="000000"/>
                <w:sz w:val="24"/>
              </w:rPr>
              <w:t xml:space="preserve">Coordinador de cadena de </w:t>
            </w:r>
            <w:r>
              <w:rPr>
                <w:rFonts w:ascii="Arial" w:eastAsia="Arial" w:hAnsi="Arial" w:cs="Arial"/>
                <w:color w:val="000000"/>
                <w:sz w:val="24"/>
              </w:rPr>
              <w:t>suministro</w:t>
            </w:r>
          </w:p>
        </w:tc>
        <w:tc>
          <w:tcPr>
            <w:tcW w:w="3811" w:type="dxa"/>
            <w:tcBorders>
              <w:top w:val="single" w:sz="4" w:space="0" w:color="000000"/>
              <w:left w:val="single" w:sz="4" w:space="0" w:color="000000"/>
              <w:bottom w:val="single" w:sz="4" w:space="0" w:color="000000"/>
              <w:right w:val="single" w:sz="4" w:space="0" w:color="000000"/>
            </w:tcBorders>
            <w:shd w:val="clear" w:color="auto" w:fill="auto"/>
          </w:tcPr>
          <w:p w14:paraId="697EE06B" w14:textId="77777777" w:rsidR="00975E2E" w:rsidRDefault="00524696">
            <w:pPr>
              <w:pStyle w:val="LO-normal"/>
              <w:tabs>
                <w:tab w:val="left" w:pos="0"/>
              </w:tabs>
              <w:spacing w:line="252" w:lineRule="auto"/>
            </w:pPr>
            <w:hyperlink r:id="rId29">
              <w:r>
                <w:rPr>
                  <w:rFonts w:ascii="Times New Roman" w:eastAsia="Times New Roman" w:hAnsi="Times New Roman" w:cs="Times New Roman"/>
                  <w:color w:val="0000FF"/>
                  <w:sz w:val="20"/>
                  <w:u w:val="single"/>
                </w:rPr>
                <w:t>SupplyCC.GVA@ifrc.org</w:t>
              </w:r>
            </w:hyperlink>
          </w:p>
          <w:p w14:paraId="43745B10" w14:textId="77777777" w:rsidR="00975E2E" w:rsidRDefault="00524696">
            <w:pPr>
              <w:pStyle w:val="LO-normal"/>
              <w:tabs>
                <w:tab w:val="left" w:pos="0"/>
              </w:tabs>
              <w:spacing w:line="252" w:lineRule="auto"/>
              <w:rPr>
                <w:rFonts w:ascii="Arial" w:eastAsia="Arial" w:hAnsi="Arial" w:cs="Arial"/>
                <w:color w:val="000000"/>
                <w:sz w:val="24"/>
              </w:rPr>
            </w:pPr>
            <w:r>
              <w:rPr>
                <w:rFonts w:ascii="Arial" w:eastAsia="Arial" w:hAnsi="Arial" w:cs="Arial"/>
                <w:color w:val="000000"/>
                <w:sz w:val="24"/>
              </w:rPr>
              <w:t>+41 79 963 9199</w:t>
            </w:r>
          </w:p>
        </w:tc>
      </w:tr>
    </w:tbl>
    <w:p w14:paraId="748BBA3C" w14:textId="77777777" w:rsidR="00975E2E" w:rsidRDefault="00975E2E">
      <w:pPr>
        <w:pStyle w:val="LO-normal"/>
        <w:spacing w:line="252" w:lineRule="auto"/>
        <w:rPr>
          <w:rFonts w:ascii="Arial" w:eastAsia="Arial" w:hAnsi="Arial" w:cs="Arial"/>
          <w:sz w:val="24"/>
        </w:rPr>
      </w:pPr>
    </w:p>
    <w:p w14:paraId="2F748B0E" w14:textId="77777777" w:rsidR="00975E2E" w:rsidRDefault="00975E2E">
      <w:pPr>
        <w:pStyle w:val="LO-normal"/>
        <w:spacing w:line="252" w:lineRule="auto"/>
        <w:rPr>
          <w:rFonts w:ascii="Arial" w:eastAsia="Arial" w:hAnsi="Arial" w:cs="Arial"/>
          <w:sz w:val="24"/>
        </w:rPr>
      </w:pPr>
    </w:p>
    <w:p w14:paraId="25076A49" w14:textId="77777777" w:rsidR="00975E2E" w:rsidRDefault="00975E2E">
      <w:pPr>
        <w:pStyle w:val="LO-normal"/>
        <w:spacing w:line="252" w:lineRule="auto"/>
        <w:rPr>
          <w:rFonts w:ascii="Arial" w:eastAsia="Arial" w:hAnsi="Arial" w:cs="Arial"/>
          <w:sz w:val="24"/>
        </w:rPr>
      </w:pPr>
    </w:p>
    <w:p w14:paraId="28852FF6" w14:textId="4F0A1040" w:rsidR="00524696" w:rsidRDefault="00524696">
      <w:pPr>
        <w:rPr>
          <w:rFonts w:ascii="Arial" w:eastAsia="Arial" w:hAnsi="Arial" w:cs="Arial"/>
          <w:sz w:val="24"/>
        </w:rPr>
      </w:pPr>
      <w:r>
        <w:rPr>
          <w:rFonts w:ascii="Arial" w:eastAsia="Arial" w:hAnsi="Arial" w:cs="Arial"/>
          <w:sz w:val="24"/>
        </w:rPr>
        <w:br w:type="page"/>
      </w:r>
    </w:p>
    <w:p w14:paraId="501E3925" w14:textId="77777777" w:rsidR="00975E2E" w:rsidRDefault="00975E2E">
      <w:pPr>
        <w:pStyle w:val="LO-normal"/>
        <w:spacing w:line="252" w:lineRule="auto"/>
        <w:rPr>
          <w:rFonts w:ascii="Arial" w:eastAsia="Arial" w:hAnsi="Arial" w:cs="Arial"/>
          <w:sz w:val="24"/>
        </w:rPr>
      </w:pPr>
    </w:p>
    <w:p w14:paraId="661D8575" w14:textId="77777777" w:rsidR="00975E2E" w:rsidRDefault="00975E2E">
      <w:pPr>
        <w:pStyle w:val="LO-normal"/>
        <w:spacing w:line="252" w:lineRule="auto"/>
      </w:pPr>
    </w:p>
    <w:tbl>
      <w:tblPr>
        <w:tblW w:w="10201" w:type="dxa"/>
        <w:tblLook w:val="0400" w:firstRow="0" w:lastRow="0" w:firstColumn="0" w:lastColumn="0" w:noHBand="0" w:noVBand="1"/>
      </w:tblPr>
      <w:tblGrid>
        <w:gridCol w:w="10201"/>
      </w:tblGrid>
      <w:tr w:rsidR="00975E2E" w14:paraId="65AB76A6" w14:textId="77777777">
        <w:trPr>
          <w:trHeight w:val="555"/>
        </w:trPr>
        <w:tc>
          <w:tcPr>
            <w:tcW w:w="10201" w:type="dxa"/>
            <w:tcBorders>
              <w:top w:val="single" w:sz="4" w:space="0" w:color="000000"/>
              <w:left w:val="single" w:sz="4" w:space="0" w:color="000000"/>
              <w:bottom w:val="single" w:sz="4" w:space="0" w:color="000000"/>
              <w:right w:val="single" w:sz="4" w:space="0" w:color="000000"/>
            </w:tcBorders>
            <w:shd w:val="clear" w:color="auto" w:fill="F2F2F2"/>
          </w:tcPr>
          <w:p w14:paraId="1595C6C1" w14:textId="77777777" w:rsidR="00975E2E" w:rsidRDefault="00524696">
            <w:pPr>
              <w:pStyle w:val="LO-normal"/>
              <w:jc w:val="center"/>
            </w:pPr>
            <w:r>
              <w:rPr>
                <w:rFonts w:ascii="Arial" w:eastAsia="Arial" w:hAnsi="Arial" w:cs="Arial"/>
                <w:b/>
                <w:color w:val="000000"/>
              </w:rPr>
              <w:t xml:space="preserve">RESUMEN DE LOS PROCEDIMIENTOS DE ADQUISICIÓN </w:t>
            </w:r>
          </w:p>
          <w:p w14:paraId="2DF68726" w14:textId="77777777" w:rsidR="00975E2E" w:rsidRDefault="00524696">
            <w:pPr>
              <w:pStyle w:val="LO-normal"/>
              <w:jc w:val="center"/>
            </w:pPr>
            <w:bookmarkStart w:id="3" w:name="_3znysh7"/>
            <w:bookmarkEnd w:id="3"/>
            <w:r>
              <w:rPr>
                <w:rFonts w:ascii="Arial" w:eastAsia="Arial" w:hAnsi="Arial" w:cs="Arial"/>
                <w:b/>
                <w:color w:val="000000"/>
              </w:rPr>
              <w:t>SEGÚN LOS NIVELES DE AUTORIZACIÓN TÉCNICA DE ADQUISICIÓN</w:t>
            </w:r>
          </w:p>
        </w:tc>
      </w:tr>
    </w:tbl>
    <w:p w14:paraId="7DF3A0D5" w14:textId="77777777" w:rsidR="00975E2E" w:rsidRDefault="00975E2E">
      <w:pPr>
        <w:pStyle w:val="LO-normal"/>
        <w:jc w:val="center"/>
        <w:rPr>
          <w:rFonts w:ascii="Arial" w:eastAsia="Arial" w:hAnsi="Arial" w:cs="Arial"/>
          <w:b/>
          <w:color w:val="000000"/>
        </w:rPr>
      </w:pPr>
    </w:p>
    <w:p w14:paraId="066E061E" w14:textId="77777777" w:rsidR="00975E2E" w:rsidRDefault="00524696">
      <w:pPr>
        <w:pStyle w:val="LO-normal"/>
        <w:numPr>
          <w:ilvl w:val="0"/>
          <w:numId w:val="1"/>
        </w:numPr>
        <w:ind w:left="426" w:hanging="294"/>
        <w:rPr>
          <w:color w:val="000000"/>
        </w:rPr>
      </w:pPr>
      <w:r>
        <w:rPr>
          <w:rFonts w:ascii="Arial" w:eastAsia="Arial" w:hAnsi="Arial" w:cs="Arial"/>
          <w:color w:val="000000"/>
        </w:rPr>
        <w:t>&lt;</w:t>
      </w:r>
      <w:r>
        <w:rPr>
          <w:rFonts w:ascii="Arial" w:eastAsia="Arial" w:hAnsi="Arial" w:cs="Arial"/>
          <w:b/>
          <w:color w:val="000000"/>
        </w:rPr>
        <w:t xml:space="preserve"> 1 000 CHF</w:t>
      </w:r>
      <w:r>
        <w:rPr>
          <w:rStyle w:val="FootnoteAnchor"/>
          <w:rFonts w:ascii="Arial" w:eastAsia="Arial" w:hAnsi="Arial" w:cs="Arial"/>
          <w:b/>
          <w:color w:val="000000"/>
        </w:rPr>
        <w:footnoteReference w:id="1"/>
      </w:r>
      <w:r>
        <w:t xml:space="preserve"> </w:t>
      </w:r>
    </w:p>
    <w:p w14:paraId="45ED4E64" w14:textId="77777777" w:rsidR="00975E2E" w:rsidRDefault="00975E2E">
      <w:pPr>
        <w:pStyle w:val="LO-normal"/>
        <w:ind w:left="426"/>
        <w:rPr>
          <w:rFonts w:ascii="Arial" w:eastAsia="Arial" w:hAnsi="Arial" w:cs="Arial"/>
          <w:b/>
          <w:color w:val="000000"/>
        </w:rPr>
      </w:pPr>
    </w:p>
    <w:p w14:paraId="3BE53396" w14:textId="77777777" w:rsidR="00975E2E" w:rsidRDefault="00524696" w:rsidP="00E45812">
      <w:pPr>
        <w:pStyle w:val="LO-normal"/>
        <w:ind w:left="142"/>
        <w:jc w:val="both"/>
        <w:rPr>
          <w:color w:val="000000"/>
        </w:rPr>
      </w:pPr>
      <w:r>
        <w:rPr>
          <w:rFonts w:ascii="Arial" w:eastAsia="Arial" w:hAnsi="Arial" w:cs="Arial"/>
          <w:color w:val="000000"/>
        </w:rPr>
        <w:t xml:space="preserve">Se </w:t>
      </w:r>
      <w:r>
        <w:rPr>
          <w:rFonts w:ascii="Arial" w:eastAsia="Arial" w:hAnsi="Arial" w:cs="Arial"/>
          <w:color w:val="000000"/>
        </w:rPr>
        <w:t>recomienda el uso de la solicitud. A discreción del jefe de oficina</w:t>
      </w:r>
      <w:r>
        <w:rPr>
          <w:rStyle w:val="FootnoteAnchor"/>
          <w:rFonts w:ascii="Arial" w:eastAsia="Arial" w:hAnsi="Arial" w:cs="Arial"/>
          <w:color w:val="000000"/>
        </w:rPr>
        <w:footnoteReference w:id="2"/>
      </w:r>
      <w:r>
        <w:rPr>
          <w:rFonts w:ascii="Arial" w:eastAsia="Arial" w:hAnsi="Arial" w:cs="Arial"/>
          <w:color w:val="000000"/>
        </w:rPr>
        <w:t>, se puede establecer un nivel de umbral más bajo para mitigar los riesgos.</w:t>
      </w:r>
    </w:p>
    <w:p w14:paraId="62F8D27D" w14:textId="77777777" w:rsidR="00975E2E" w:rsidRDefault="00975E2E" w:rsidP="00E45812">
      <w:pPr>
        <w:pStyle w:val="LO-normal"/>
        <w:ind w:left="426"/>
        <w:jc w:val="both"/>
        <w:rPr>
          <w:rFonts w:ascii="Arial" w:eastAsia="Arial" w:hAnsi="Arial" w:cs="Arial"/>
        </w:rPr>
      </w:pPr>
    </w:p>
    <w:p w14:paraId="7EAFECCF" w14:textId="77777777" w:rsidR="00975E2E" w:rsidRDefault="00524696" w:rsidP="00E45812">
      <w:pPr>
        <w:pStyle w:val="LO-normal"/>
        <w:numPr>
          <w:ilvl w:val="0"/>
          <w:numId w:val="1"/>
        </w:numPr>
        <w:ind w:left="426"/>
        <w:jc w:val="both"/>
        <w:rPr>
          <w:color w:val="000000"/>
        </w:rPr>
      </w:pPr>
      <w:r>
        <w:rPr>
          <w:rFonts w:ascii="Arial" w:eastAsia="Arial" w:hAnsi="Arial" w:cs="Arial"/>
          <w:b/>
          <w:color w:val="000000"/>
        </w:rPr>
        <w:t>1 000 &gt; &lt; 19 999 CHF</w:t>
      </w:r>
    </w:p>
    <w:p w14:paraId="3E1CB484" w14:textId="77777777" w:rsidR="00975E2E" w:rsidRDefault="00975E2E" w:rsidP="00E45812">
      <w:pPr>
        <w:pStyle w:val="LO-normal"/>
        <w:ind w:left="426"/>
        <w:jc w:val="both"/>
        <w:rPr>
          <w:rFonts w:ascii="Arial" w:eastAsia="Arial" w:hAnsi="Arial" w:cs="Arial"/>
          <w:b/>
          <w:color w:val="000000"/>
        </w:rPr>
      </w:pPr>
    </w:p>
    <w:p w14:paraId="6E45F468" w14:textId="77777777" w:rsidR="00975E2E" w:rsidRDefault="00524696" w:rsidP="00E45812">
      <w:pPr>
        <w:pStyle w:val="LO-normal"/>
        <w:ind w:left="426" w:hanging="426"/>
        <w:jc w:val="both"/>
        <w:rPr>
          <w:color w:val="000000"/>
        </w:rPr>
      </w:pPr>
      <w:r>
        <w:rPr>
          <w:rFonts w:ascii="Arial" w:eastAsia="Arial" w:hAnsi="Arial" w:cs="Arial"/>
          <w:color w:val="000000"/>
        </w:rPr>
        <w:t>El proceso de adquisición requiere lo siguiente:</w:t>
      </w:r>
    </w:p>
    <w:p w14:paraId="0CBE2C6D" w14:textId="77777777" w:rsidR="00975E2E" w:rsidRDefault="00524696" w:rsidP="00E45812">
      <w:pPr>
        <w:pStyle w:val="LO-normal"/>
        <w:numPr>
          <w:ilvl w:val="0"/>
          <w:numId w:val="3"/>
        </w:numPr>
        <w:tabs>
          <w:tab w:val="left" w:pos="0"/>
        </w:tabs>
        <w:ind w:left="426"/>
        <w:jc w:val="both"/>
        <w:rPr>
          <w:rFonts w:ascii="Times New Roman" w:eastAsia="Times New Roman" w:hAnsi="Times New Roman" w:cs="Times New Roman"/>
          <w:color w:val="000000"/>
          <w:sz w:val="24"/>
        </w:rPr>
      </w:pPr>
      <w:r>
        <w:rPr>
          <w:rFonts w:ascii="Arial" w:eastAsia="Arial" w:hAnsi="Arial" w:cs="Arial"/>
          <w:color w:val="000000"/>
        </w:rPr>
        <w:t xml:space="preserve">Solicitud de logística aprobada por el </w:t>
      </w:r>
      <w:r>
        <w:rPr>
          <w:rFonts w:ascii="Arial" w:eastAsia="Arial" w:hAnsi="Arial" w:cs="Arial"/>
          <w:color w:val="000000"/>
        </w:rPr>
        <w:t>director del proyecto, validada por finanzas y firmada por el solicitante.</w:t>
      </w:r>
    </w:p>
    <w:p w14:paraId="76BB01C6" w14:textId="77777777" w:rsidR="00975E2E" w:rsidRDefault="00524696" w:rsidP="00E45812">
      <w:pPr>
        <w:pStyle w:val="LO-normal"/>
        <w:numPr>
          <w:ilvl w:val="0"/>
          <w:numId w:val="3"/>
        </w:numPr>
        <w:tabs>
          <w:tab w:val="left" w:pos="0"/>
        </w:tabs>
        <w:ind w:left="426"/>
        <w:jc w:val="both"/>
        <w:rPr>
          <w:rFonts w:ascii="Times New Roman" w:eastAsia="Times New Roman" w:hAnsi="Times New Roman" w:cs="Times New Roman"/>
          <w:color w:val="000000"/>
          <w:sz w:val="24"/>
        </w:rPr>
      </w:pPr>
      <w:r>
        <w:rPr>
          <w:rFonts w:ascii="Arial" w:eastAsia="Arial" w:hAnsi="Arial" w:cs="Arial"/>
          <w:color w:val="000000"/>
        </w:rPr>
        <w:t>Preparación y publicación de la solicitud de cotización a un mínimo de tres posibles proveedores.</w:t>
      </w:r>
    </w:p>
    <w:p w14:paraId="7F400143" w14:textId="77777777" w:rsidR="00975E2E" w:rsidRDefault="00524696" w:rsidP="00E45812">
      <w:pPr>
        <w:pStyle w:val="LO-normal"/>
        <w:numPr>
          <w:ilvl w:val="0"/>
          <w:numId w:val="3"/>
        </w:numPr>
        <w:tabs>
          <w:tab w:val="left" w:pos="0"/>
        </w:tabs>
        <w:ind w:left="426"/>
        <w:jc w:val="both"/>
        <w:rPr>
          <w:rFonts w:ascii="Times New Roman" w:eastAsia="Times New Roman" w:hAnsi="Times New Roman" w:cs="Times New Roman"/>
          <w:color w:val="000000"/>
          <w:sz w:val="24"/>
        </w:rPr>
      </w:pPr>
      <w:r>
        <w:rPr>
          <w:rFonts w:ascii="Arial" w:eastAsia="Arial" w:hAnsi="Arial" w:cs="Arial"/>
          <w:color w:val="000000"/>
        </w:rPr>
        <w:t xml:space="preserve">Recepción de ofertas, evaluación y preparación del análisis comparativo de </w:t>
      </w:r>
      <w:r>
        <w:rPr>
          <w:rFonts w:ascii="Arial" w:eastAsia="Arial" w:hAnsi="Arial" w:cs="Arial"/>
          <w:color w:val="000000"/>
        </w:rPr>
        <w:t>ofertas (CBA, por sus siglas en inglés) con una recomendación. El CBA debe ser firmado por el oficial de compras y aprobado por el jefe de oficina u otras personas autorizadas, según corresponda.</w:t>
      </w:r>
    </w:p>
    <w:p w14:paraId="557D5CC0" w14:textId="77777777" w:rsidR="00975E2E" w:rsidRDefault="00524696" w:rsidP="00E45812">
      <w:pPr>
        <w:pStyle w:val="LO-normal"/>
        <w:numPr>
          <w:ilvl w:val="0"/>
          <w:numId w:val="3"/>
        </w:numPr>
        <w:tabs>
          <w:tab w:val="left" w:pos="0"/>
        </w:tabs>
        <w:ind w:left="426"/>
        <w:jc w:val="both"/>
        <w:rPr>
          <w:rFonts w:ascii="Times New Roman" w:eastAsia="Times New Roman" w:hAnsi="Times New Roman" w:cs="Times New Roman"/>
          <w:color w:val="000000"/>
          <w:sz w:val="24"/>
        </w:rPr>
      </w:pPr>
      <w:r>
        <w:rPr>
          <w:rFonts w:ascii="Arial" w:eastAsia="Arial" w:hAnsi="Arial" w:cs="Arial"/>
          <w:color w:val="000000"/>
        </w:rPr>
        <w:t xml:space="preserve">Emisión y gestión de órdenes de compra y contratos. </w:t>
      </w:r>
    </w:p>
    <w:p w14:paraId="455C23DE" w14:textId="77777777" w:rsidR="00975E2E" w:rsidRDefault="00975E2E" w:rsidP="00E45812">
      <w:pPr>
        <w:pStyle w:val="LO-normal"/>
        <w:tabs>
          <w:tab w:val="left" w:pos="0"/>
        </w:tabs>
        <w:ind w:left="426"/>
        <w:jc w:val="both"/>
        <w:rPr>
          <w:rFonts w:ascii="Arial" w:eastAsia="Arial" w:hAnsi="Arial" w:cs="Arial"/>
          <w:b/>
          <w:color w:val="000000"/>
        </w:rPr>
      </w:pPr>
    </w:p>
    <w:p w14:paraId="7AD8C79F" w14:textId="77777777" w:rsidR="00975E2E" w:rsidRDefault="00524696" w:rsidP="00E45812">
      <w:pPr>
        <w:pStyle w:val="Heading4"/>
        <w:numPr>
          <w:ilvl w:val="0"/>
          <w:numId w:val="1"/>
        </w:numPr>
        <w:spacing w:before="0" w:after="0"/>
        <w:ind w:left="426"/>
        <w:jc w:val="both"/>
      </w:pPr>
      <w:r>
        <w:rPr>
          <w:sz w:val="22"/>
        </w:rPr>
        <w:t>20 000 &gt; &lt; 49 999 CHF</w:t>
      </w:r>
    </w:p>
    <w:p w14:paraId="696F2601" w14:textId="77777777" w:rsidR="00975E2E" w:rsidRDefault="00975E2E" w:rsidP="00E45812">
      <w:pPr>
        <w:pStyle w:val="LO-normal"/>
        <w:jc w:val="both"/>
      </w:pPr>
    </w:p>
    <w:p w14:paraId="6811EF52" w14:textId="77777777" w:rsidR="00975E2E" w:rsidRDefault="00524696" w:rsidP="00E45812">
      <w:pPr>
        <w:pStyle w:val="Heading4"/>
        <w:spacing w:before="0"/>
        <w:ind w:left="426" w:hanging="426"/>
        <w:jc w:val="both"/>
      </w:pPr>
      <w:r>
        <w:rPr>
          <w:sz w:val="22"/>
        </w:rPr>
        <w:t>El proceso de adquisición es el mismo que se describe en la sección 2. Adicionalmente:</w:t>
      </w:r>
    </w:p>
    <w:p w14:paraId="1316F967" w14:textId="77777777" w:rsidR="00975E2E" w:rsidRDefault="00524696" w:rsidP="00E45812">
      <w:pPr>
        <w:pStyle w:val="Heading4"/>
        <w:numPr>
          <w:ilvl w:val="0"/>
          <w:numId w:val="4"/>
        </w:numPr>
        <w:spacing w:before="0" w:after="0"/>
        <w:ind w:left="426"/>
        <w:jc w:val="both"/>
      </w:pPr>
      <w:r>
        <w:rPr>
          <w:sz w:val="22"/>
        </w:rPr>
        <w:t>Todas las ofertas deben solicitarse en sobres cerrados</w:t>
      </w:r>
      <w:r>
        <w:rPr>
          <w:rStyle w:val="FootnoteAnchor"/>
          <w:sz w:val="22"/>
        </w:rPr>
        <w:footnoteReference w:id="3"/>
      </w:r>
      <w:r>
        <w:rPr>
          <w:sz w:val="22"/>
        </w:rPr>
        <w:t xml:space="preserve">. </w:t>
      </w:r>
    </w:p>
    <w:p w14:paraId="736AAB5F" w14:textId="77777777" w:rsidR="00975E2E" w:rsidRDefault="00524696" w:rsidP="00E45812">
      <w:pPr>
        <w:pStyle w:val="Heading4"/>
        <w:numPr>
          <w:ilvl w:val="0"/>
          <w:numId w:val="4"/>
        </w:numPr>
        <w:spacing w:before="0" w:after="0"/>
        <w:ind w:left="426"/>
        <w:jc w:val="both"/>
      </w:pPr>
      <w:r>
        <w:rPr>
          <w:sz w:val="22"/>
        </w:rPr>
        <w:t>El Comité de contratos local (</w:t>
      </w:r>
      <w:proofErr w:type="spellStart"/>
      <w:r>
        <w:rPr>
          <w:sz w:val="22"/>
        </w:rPr>
        <w:t>LCo</w:t>
      </w:r>
      <w:r>
        <w:rPr>
          <w:sz w:val="22"/>
        </w:rPr>
        <w:t>C</w:t>
      </w:r>
      <w:proofErr w:type="spellEnd"/>
      <w:r>
        <w:rPr>
          <w:sz w:val="22"/>
        </w:rPr>
        <w:t xml:space="preserve">, por sus siglas en inglés) con miembros designados debe ser nombrado por el jefe de oficina. </w:t>
      </w:r>
    </w:p>
    <w:p w14:paraId="5E3D5C3D" w14:textId="77777777" w:rsidR="00975E2E" w:rsidRDefault="00524696" w:rsidP="00E45812">
      <w:pPr>
        <w:pStyle w:val="Heading4"/>
        <w:numPr>
          <w:ilvl w:val="0"/>
          <w:numId w:val="4"/>
        </w:numPr>
        <w:spacing w:before="0" w:after="0"/>
        <w:ind w:left="426"/>
        <w:jc w:val="both"/>
      </w:pPr>
      <w:r>
        <w:rPr>
          <w:sz w:val="22"/>
        </w:rPr>
        <w:t xml:space="preserve">Realizar la inauguración del </w:t>
      </w:r>
      <w:proofErr w:type="spellStart"/>
      <w:r>
        <w:rPr>
          <w:sz w:val="22"/>
        </w:rPr>
        <w:t>LCoC</w:t>
      </w:r>
      <w:proofErr w:type="spellEnd"/>
      <w:r>
        <w:rPr>
          <w:sz w:val="22"/>
        </w:rPr>
        <w:t xml:space="preserve">. El acta de la reunión debe ser emitida y firmada por todos los miembros del </w:t>
      </w:r>
      <w:proofErr w:type="spellStart"/>
      <w:r>
        <w:rPr>
          <w:sz w:val="22"/>
        </w:rPr>
        <w:t>LCoC</w:t>
      </w:r>
      <w:proofErr w:type="spellEnd"/>
      <w:r>
        <w:rPr>
          <w:sz w:val="22"/>
        </w:rPr>
        <w:t>.</w:t>
      </w:r>
    </w:p>
    <w:p w14:paraId="73086C65" w14:textId="77777777" w:rsidR="00975E2E" w:rsidRDefault="00524696" w:rsidP="00E45812">
      <w:pPr>
        <w:pStyle w:val="Heading4"/>
        <w:numPr>
          <w:ilvl w:val="0"/>
          <w:numId w:val="4"/>
        </w:numPr>
        <w:spacing w:before="0" w:after="0"/>
        <w:ind w:left="426"/>
        <w:jc w:val="both"/>
      </w:pPr>
      <w:r>
        <w:rPr>
          <w:sz w:val="22"/>
        </w:rPr>
        <w:t xml:space="preserve">Celebrar una reunión del </w:t>
      </w:r>
      <w:proofErr w:type="spellStart"/>
      <w:r>
        <w:rPr>
          <w:sz w:val="22"/>
        </w:rPr>
        <w:t>LCoC</w:t>
      </w:r>
      <w:proofErr w:type="spellEnd"/>
      <w:r>
        <w:rPr>
          <w:sz w:val="22"/>
        </w:rPr>
        <w:t xml:space="preserve"> para garantiz</w:t>
      </w:r>
      <w:r>
        <w:rPr>
          <w:sz w:val="22"/>
        </w:rPr>
        <w:t xml:space="preserve">ar el cumplimiento estricto de los procedimientos de adquisición de la FICR y hacer una recomendación al jefe de oficina sobre la selección de los proveedores. El acta de la reunión debe ser emitida y firmada por todos los miembros del </w:t>
      </w:r>
      <w:proofErr w:type="spellStart"/>
      <w:r>
        <w:rPr>
          <w:sz w:val="22"/>
        </w:rPr>
        <w:t>LCoC</w:t>
      </w:r>
      <w:proofErr w:type="spellEnd"/>
      <w:r>
        <w:rPr>
          <w:sz w:val="22"/>
        </w:rPr>
        <w:t>. El jefe de ofi</w:t>
      </w:r>
      <w:r>
        <w:rPr>
          <w:sz w:val="22"/>
        </w:rPr>
        <w:t xml:space="preserve">cina es responsable de la aprobación final de la recomendación del </w:t>
      </w:r>
      <w:proofErr w:type="spellStart"/>
      <w:r>
        <w:rPr>
          <w:sz w:val="22"/>
        </w:rPr>
        <w:t>LCoC</w:t>
      </w:r>
      <w:proofErr w:type="spellEnd"/>
      <w:r>
        <w:rPr>
          <w:sz w:val="22"/>
        </w:rPr>
        <w:t>.</w:t>
      </w:r>
    </w:p>
    <w:p w14:paraId="25334F89" w14:textId="77777777" w:rsidR="00975E2E" w:rsidRDefault="00975E2E" w:rsidP="00E45812">
      <w:pPr>
        <w:pStyle w:val="LO-normal"/>
        <w:ind w:left="426"/>
        <w:jc w:val="both"/>
        <w:rPr>
          <w:rFonts w:ascii="Arial" w:eastAsia="Arial" w:hAnsi="Arial" w:cs="Arial"/>
        </w:rPr>
      </w:pPr>
    </w:p>
    <w:p w14:paraId="3C7F0387" w14:textId="77777777" w:rsidR="00975E2E" w:rsidRDefault="00524696" w:rsidP="00E45812">
      <w:pPr>
        <w:pStyle w:val="Heading4"/>
        <w:numPr>
          <w:ilvl w:val="0"/>
          <w:numId w:val="1"/>
        </w:numPr>
        <w:spacing w:before="0" w:after="0"/>
        <w:ind w:left="426"/>
        <w:jc w:val="both"/>
      </w:pPr>
      <w:r>
        <w:rPr>
          <w:sz w:val="22"/>
        </w:rPr>
        <w:t>50 000 &gt; &lt; 199 999 CHF</w:t>
      </w:r>
    </w:p>
    <w:p w14:paraId="6FB713D4" w14:textId="77777777" w:rsidR="00975E2E" w:rsidRDefault="00524696" w:rsidP="00E45812">
      <w:pPr>
        <w:pStyle w:val="Heading1"/>
        <w:shd w:val="clear" w:color="auto" w:fill="FFFFFF"/>
        <w:jc w:val="both"/>
      </w:pPr>
      <w:r>
        <w:rPr>
          <w:b w:val="0"/>
          <w:sz w:val="22"/>
        </w:rPr>
        <w:t>El proceso de adquisición es el mismo que se describe en la sección 3. Para garantizar el estricto cumplimiento de los procedimientos de adquisición de la FICR</w:t>
      </w:r>
      <w:r>
        <w:rPr>
          <w:b w:val="0"/>
          <w:sz w:val="22"/>
        </w:rPr>
        <w:t>, también se debe enviar una copia de los siguientes documentos a la respectiva unidad de LPSCM regional o mundial para obtener las aprobaciones necesarias:</w:t>
      </w:r>
    </w:p>
    <w:p w14:paraId="5D809849" w14:textId="77777777" w:rsidR="00975E2E" w:rsidRDefault="00524696" w:rsidP="00E45812">
      <w:pPr>
        <w:pStyle w:val="LO-normal"/>
        <w:numPr>
          <w:ilvl w:val="0"/>
          <w:numId w:val="5"/>
        </w:numPr>
        <w:tabs>
          <w:tab w:val="left" w:pos="0"/>
        </w:tabs>
        <w:ind w:left="426"/>
        <w:jc w:val="both"/>
        <w:rPr>
          <w:color w:val="000000"/>
        </w:rPr>
      </w:pPr>
      <w:r>
        <w:rPr>
          <w:rFonts w:ascii="Arial" w:eastAsia="Arial" w:hAnsi="Arial" w:cs="Arial"/>
          <w:color w:val="000000"/>
        </w:rPr>
        <w:t>Formulario de solicitud de logística aprobado por el titular del presupuesto y validado por finanza</w:t>
      </w:r>
      <w:r>
        <w:rPr>
          <w:rFonts w:ascii="Arial" w:eastAsia="Arial" w:hAnsi="Arial" w:cs="Arial"/>
          <w:color w:val="000000"/>
        </w:rPr>
        <w:t>s.</w:t>
      </w:r>
    </w:p>
    <w:p w14:paraId="295F147E" w14:textId="77777777" w:rsidR="00975E2E" w:rsidRDefault="00524696" w:rsidP="00E45812">
      <w:pPr>
        <w:pStyle w:val="LO-normal"/>
        <w:numPr>
          <w:ilvl w:val="0"/>
          <w:numId w:val="5"/>
        </w:numPr>
        <w:tabs>
          <w:tab w:val="left" w:pos="0"/>
        </w:tabs>
        <w:ind w:left="426" w:hanging="426"/>
        <w:jc w:val="both"/>
        <w:rPr>
          <w:color w:val="000000"/>
        </w:rPr>
      </w:pPr>
      <w:r>
        <w:rPr>
          <w:rFonts w:ascii="Arial" w:eastAsia="Arial" w:hAnsi="Arial" w:cs="Arial"/>
          <w:color w:val="000000"/>
        </w:rPr>
        <w:t xml:space="preserve">Solicitud de cotización (RFQ, por sus siglas en inglés). </w:t>
      </w:r>
    </w:p>
    <w:p w14:paraId="3FA1F5CC" w14:textId="77777777" w:rsidR="00975E2E" w:rsidRDefault="00524696" w:rsidP="00E45812">
      <w:pPr>
        <w:pStyle w:val="LO-normal"/>
        <w:numPr>
          <w:ilvl w:val="0"/>
          <w:numId w:val="5"/>
        </w:numPr>
        <w:tabs>
          <w:tab w:val="left" w:pos="0"/>
        </w:tabs>
        <w:ind w:left="426" w:hanging="426"/>
        <w:jc w:val="both"/>
        <w:rPr>
          <w:color w:val="000000"/>
        </w:rPr>
      </w:pPr>
      <w:r>
        <w:rPr>
          <w:rFonts w:ascii="Arial" w:eastAsia="Arial" w:hAnsi="Arial" w:cs="Arial"/>
          <w:color w:val="000000"/>
        </w:rPr>
        <w:t xml:space="preserve">Acta de la inauguración firmada por todos los miembros del </w:t>
      </w:r>
      <w:proofErr w:type="spellStart"/>
      <w:r>
        <w:rPr>
          <w:rFonts w:ascii="Arial" w:eastAsia="Arial" w:hAnsi="Arial" w:cs="Arial"/>
          <w:color w:val="000000"/>
        </w:rPr>
        <w:t>LCoC</w:t>
      </w:r>
      <w:proofErr w:type="spellEnd"/>
      <w:r>
        <w:rPr>
          <w:rFonts w:ascii="Arial" w:eastAsia="Arial" w:hAnsi="Arial" w:cs="Arial"/>
          <w:color w:val="000000"/>
        </w:rPr>
        <w:t>.</w:t>
      </w:r>
    </w:p>
    <w:p w14:paraId="435F6CA6" w14:textId="77777777" w:rsidR="00975E2E" w:rsidRDefault="00524696" w:rsidP="00E45812">
      <w:pPr>
        <w:pStyle w:val="LO-normal"/>
        <w:numPr>
          <w:ilvl w:val="0"/>
          <w:numId w:val="5"/>
        </w:numPr>
        <w:tabs>
          <w:tab w:val="left" w:pos="0"/>
        </w:tabs>
        <w:ind w:left="426" w:hanging="426"/>
        <w:jc w:val="both"/>
        <w:rPr>
          <w:color w:val="000000"/>
        </w:rPr>
      </w:pPr>
      <w:r>
        <w:rPr>
          <w:rFonts w:ascii="Arial" w:eastAsia="Arial" w:hAnsi="Arial" w:cs="Arial"/>
          <w:color w:val="000000"/>
        </w:rPr>
        <w:t>Copia de todas las ofertas.</w:t>
      </w:r>
    </w:p>
    <w:p w14:paraId="3ED7F878" w14:textId="77777777" w:rsidR="00975E2E" w:rsidRDefault="00524696" w:rsidP="00E45812">
      <w:pPr>
        <w:pStyle w:val="LO-normal"/>
        <w:numPr>
          <w:ilvl w:val="0"/>
          <w:numId w:val="5"/>
        </w:numPr>
        <w:tabs>
          <w:tab w:val="left" w:pos="0"/>
        </w:tabs>
        <w:ind w:left="426" w:hanging="426"/>
        <w:jc w:val="both"/>
        <w:rPr>
          <w:color w:val="000000"/>
        </w:rPr>
      </w:pPr>
      <w:r>
        <w:rPr>
          <w:rFonts w:ascii="Arial" w:eastAsia="Arial" w:hAnsi="Arial" w:cs="Arial"/>
          <w:color w:val="000000"/>
        </w:rPr>
        <w:t xml:space="preserve">Copia del CBA firmada por el oficial de compras y aprobada por el jefe de oficina </w:t>
      </w:r>
    </w:p>
    <w:p w14:paraId="7E63D71A" w14:textId="77777777" w:rsidR="00975E2E" w:rsidRDefault="00524696" w:rsidP="00E45812">
      <w:pPr>
        <w:pStyle w:val="LO-normal"/>
        <w:numPr>
          <w:ilvl w:val="0"/>
          <w:numId w:val="5"/>
        </w:numPr>
        <w:tabs>
          <w:tab w:val="left" w:pos="0"/>
        </w:tabs>
        <w:ind w:left="426" w:hanging="426"/>
        <w:jc w:val="both"/>
        <w:rPr>
          <w:color w:val="000000"/>
        </w:rPr>
      </w:pPr>
      <w:r>
        <w:rPr>
          <w:rFonts w:ascii="Arial" w:eastAsia="Arial" w:hAnsi="Arial" w:cs="Arial"/>
          <w:color w:val="000000"/>
        </w:rPr>
        <w:lastRenderedPageBreak/>
        <w:t xml:space="preserve">Acta del </w:t>
      </w:r>
      <w:proofErr w:type="spellStart"/>
      <w:r>
        <w:rPr>
          <w:rFonts w:ascii="Arial" w:eastAsia="Arial" w:hAnsi="Arial" w:cs="Arial"/>
          <w:color w:val="000000"/>
        </w:rPr>
        <w:t>LCoC</w:t>
      </w:r>
      <w:proofErr w:type="spellEnd"/>
      <w:r>
        <w:rPr>
          <w:rFonts w:ascii="Arial" w:eastAsia="Arial" w:hAnsi="Arial" w:cs="Arial"/>
          <w:color w:val="000000"/>
        </w:rPr>
        <w:t xml:space="preserve">, firmada por todos los miembros, que explique el proceso de adquisición y la elección realizada. </w:t>
      </w:r>
    </w:p>
    <w:p w14:paraId="573FF389" w14:textId="77777777" w:rsidR="00975E2E" w:rsidRDefault="00524696" w:rsidP="00E45812">
      <w:pPr>
        <w:pStyle w:val="LO-normal"/>
        <w:numPr>
          <w:ilvl w:val="0"/>
          <w:numId w:val="5"/>
        </w:numPr>
        <w:tabs>
          <w:tab w:val="left" w:pos="0"/>
        </w:tabs>
        <w:ind w:left="426" w:hanging="426"/>
        <w:jc w:val="both"/>
        <w:rPr>
          <w:color w:val="000000"/>
        </w:rPr>
      </w:pPr>
      <w:r>
        <w:rPr>
          <w:rFonts w:ascii="Arial" w:eastAsia="Arial" w:hAnsi="Arial" w:cs="Arial"/>
          <w:color w:val="000000"/>
        </w:rPr>
        <w:t>Borrador del contrato.</w:t>
      </w:r>
    </w:p>
    <w:p w14:paraId="4B6EA89C" w14:textId="77777777" w:rsidR="00975E2E" w:rsidRDefault="00975E2E" w:rsidP="00E45812">
      <w:pPr>
        <w:pStyle w:val="LO-normal"/>
        <w:tabs>
          <w:tab w:val="left" w:pos="0"/>
        </w:tabs>
        <w:ind w:left="567"/>
        <w:jc w:val="both"/>
        <w:rPr>
          <w:rFonts w:ascii="Arial" w:eastAsia="Arial" w:hAnsi="Arial" w:cs="Arial"/>
          <w:i/>
          <w:color w:val="000000"/>
        </w:rPr>
      </w:pPr>
    </w:p>
    <w:p w14:paraId="6F473A57" w14:textId="77777777" w:rsidR="00975E2E" w:rsidRDefault="00524696" w:rsidP="00E45812">
      <w:pPr>
        <w:pStyle w:val="Heading4"/>
        <w:numPr>
          <w:ilvl w:val="0"/>
          <w:numId w:val="1"/>
        </w:numPr>
        <w:spacing w:before="0" w:after="0"/>
        <w:ind w:left="567"/>
        <w:jc w:val="both"/>
      </w:pPr>
      <w:r>
        <w:rPr>
          <w:sz w:val="22"/>
        </w:rPr>
        <w:t>200 000 &gt; &lt; 399 999 CHF</w:t>
      </w:r>
    </w:p>
    <w:p w14:paraId="1A961B5C" w14:textId="77777777" w:rsidR="00975E2E" w:rsidRDefault="00524696" w:rsidP="00E45812">
      <w:pPr>
        <w:pStyle w:val="Heading4"/>
        <w:jc w:val="both"/>
      </w:pPr>
      <w:r>
        <w:rPr>
          <w:sz w:val="22"/>
        </w:rPr>
        <w:t>El proceso de</w:t>
      </w:r>
      <w:r>
        <w:rPr>
          <w:sz w:val="22"/>
        </w:rPr>
        <w:t xml:space="preserve"> adquisición es el mismo que se describe en la sección 3. El archivo debe presentarse a la LPSCM global para la revisión técnica y la aprobación de la adquisición a través de la respectiva LPSCM regional. Los requisitos documentales que se deben presentar </w:t>
      </w:r>
      <w:r>
        <w:rPr>
          <w:sz w:val="22"/>
        </w:rPr>
        <w:t xml:space="preserve">son los mismos documentos que en la sección 4.  </w:t>
      </w:r>
    </w:p>
    <w:p w14:paraId="0BA466BA" w14:textId="77777777" w:rsidR="00975E2E" w:rsidRDefault="00975E2E" w:rsidP="00E45812">
      <w:pPr>
        <w:pStyle w:val="LO-normal"/>
        <w:tabs>
          <w:tab w:val="left" w:pos="0"/>
        </w:tabs>
        <w:ind w:left="567"/>
        <w:jc w:val="both"/>
        <w:rPr>
          <w:rFonts w:ascii="Arial" w:eastAsia="Arial" w:hAnsi="Arial" w:cs="Arial"/>
          <w:color w:val="000000"/>
        </w:rPr>
      </w:pPr>
    </w:p>
    <w:p w14:paraId="3D0599EE" w14:textId="77777777" w:rsidR="00975E2E" w:rsidRDefault="00524696" w:rsidP="00E45812">
      <w:pPr>
        <w:pStyle w:val="Heading4"/>
        <w:numPr>
          <w:ilvl w:val="0"/>
          <w:numId w:val="1"/>
        </w:numPr>
        <w:spacing w:before="0" w:after="0"/>
        <w:ind w:left="567"/>
        <w:jc w:val="both"/>
      </w:pPr>
      <w:r>
        <w:rPr>
          <w:sz w:val="22"/>
        </w:rPr>
        <w:t xml:space="preserve"> &gt; 400 000 CHF</w:t>
      </w:r>
    </w:p>
    <w:p w14:paraId="1AEF0752" w14:textId="77777777" w:rsidR="00975E2E" w:rsidRDefault="00975E2E" w:rsidP="00E45812">
      <w:pPr>
        <w:pStyle w:val="LO-normal"/>
        <w:jc w:val="both"/>
      </w:pPr>
    </w:p>
    <w:p w14:paraId="5EF88FAE" w14:textId="77777777" w:rsidR="00975E2E" w:rsidRDefault="00524696" w:rsidP="00E45812">
      <w:pPr>
        <w:pStyle w:val="LO-normal"/>
        <w:jc w:val="both"/>
      </w:pPr>
      <w:bookmarkStart w:id="4" w:name="_2et92p0"/>
      <w:bookmarkEnd w:id="4"/>
      <w:r>
        <w:rPr>
          <w:rFonts w:ascii="Arial" w:eastAsia="Arial" w:hAnsi="Arial" w:cs="Arial"/>
        </w:rPr>
        <w:t>El proceso de adquisición es el mismo que se describe en las secciones 3 y 5. Además, después de la revisión técnica realizada por la LPSCM global, el archivo debe enviarse al Comité de contratos de Ginebra para su revisión y aprobación. Los requisitos doc</w:t>
      </w:r>
      <w:r>
        <w:rPr>
          <w:rFonts w:ascii="Arial" w:eastAsia="Arial" w:hAnsi="Arial" w:cs="Arial"/>
        </w:rPr>
        <w:t xml:space="preserve">umentales que se deben presentar son los mismos documentos que en la sección 4.  </w:t>
      </w:r>
    </w:p>
    <w:p w14:paraId="00ACFD93" w14:textId="77777777" w:rsidR="00975E2E" w:rsidRDefault="00975E2E" w:rsidP="00E45812">
      <w:pPr>
        <w:pStyle w:val="LO-normal"/>
        <w:spacing w:line="252" w:lineRule="auto"/>
        <w:jc w:val="both"/>
        <w:rPr>
          <w:rFonts w:ascii="Arial" w:eastAsia="Arial" w:hAnsi="Arial" w:cs="Arial"/>
          <w:sz w:val="24"/>
        </w:rPr>
      </w:pPr>
    </w:p>
    <w:p w14:paraId="0788B172" w14:textId="77777777" w:rsidR="00975E2E" w:rsidRDefault="00975E2E">
      <w:pPr>
        <w:pStyle w:val="LO-normal"/>
        <w:spacing w:line="252" w:lineRule="auto"/>
        <w:rPr>
          <w:rFonts w:ascii="Arial" w:eastAsia="Arial" w:hAnsi="Arial" w:cs="Arial"/>
          <w:sz w:val="24"/>
        </w:rPr>
      </w:pPr>
    </w:p>
    <w:p w14:paraId="220C0901" w14:textId="77777777" w:rsidR="00975E2E" w:rsidRDefault="00975E2E">
      <w:pPr>
        <w:pStyle w:val="LO-normal"/>
      </w:pPr>
      <w:bookmarkStart w:id="5" w:name="_tyjcwt"/>
      <w:bookmarkEnd w:id="5"/>
    </w:p>
    <w:p w14:paraId="42C23F3F" w14:textId="77777777" w:rsidR="00975E2E" w:rsidRDefault="00975E2E">
      <w:pPr>
        <w:pStyle w:val="LO-normal"/>
      </w:pPr>
      <w:bookmarkStart w:id="6" w:name="_jnhvn68gptvh"/>
      <w:bookmarkEnd w:id="6"/>
    </w:p>
    <w:p w14:paraId="310127D8" w14:textId="77777777" w:rsidR="00975E2E" w:rsidRDefault="00975E2E">
      <w:pPr>
        <w:pStyle w:val="LO-normal"/>
      </w:pPr>
    </w:p>
    <w:sectPr w:rsidR="00975E2E">
      <w:headerReference w:type="even" r:id="rId30"/>
      <w:headerReference w:type="default" r:id="rId31"/>
      <w:footerReference w:type="even" r:id="rId32"/>
      <w:footerReference w:type="default" r:id="rId33"/>
      <w:headerReference w:type="first" r:id="rId34"/>
      <w:footerReference w:type="first" r:id="rId35"/>
      <w:pgSz w:w="11906" w:h="16838"/>
      <w:pgMar w:top="1134" w:right="1134" w:bottom="1021" w:left="1134" w:header="0" w:footer="709" w:gutter="0"/>
      <w:pgNumType w:start="1"/>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FEAEB2" w14:textId="77777777" w:rsidR="00000000" w:rsidRDefault="00524696">
      <w:r>
        <w:separator/>
      </w:r>
    </w:p>
  </w:endnote>
  <w:endnote w:type="continuationSeparator" w:id="0">
    <w:p w14:paraId="0F07F659" w14:textId="77777777" w:rsidR="00000000" w:rsidRDefault="00524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1"/>
    <w:family w:val="auto"/>
    <w:pitch w:val="default"/>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auto"/>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EFAF9" w14:textId="77777777" w:rsidR="009D66F3" w:rsidRDefault="009D66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BFA60" w14:textId="77777777" w:rsidR="00975E2E" w:rsidRDefault="00524696">
    <w:pPr>
      <w:pStyle w:val="LO-normal"/>
      <w:pBdr>
        <w:top w:val="single" w:sz="4" w:space="1" w:color="D9D9D9"/>
      </w:pBdr>
      <w:tabs>
        <w:tab w:val="center" w:pos="4536"/>
        <w:tab w:val="right" w:pos="9072"/>
      </w:tabs>
      <w:jc w:val="right"/>
    </w:pPr>
    <w:r>
      <w:fldChar w:fldCharType="begin"/>
    </w:r>
    <w:r>
      <w:instrText>PAGE</w:instrText>
    </w:r>
    <w:r>
      <w:fldChar w:fldCharType="separate"/>
    </w:r>
    <w:r>
      <w:t>9</w:t>
    </w:r>
    <w:r>
      <w:fldChar w:fldCharType="end"/>
    </w:r>
    <w:r>
      <w:rPr>
        <w:color w:val="000000"/>
      </w:rPr>
      <w:t xml:space="preserve"> | </w:t>
    </w:r>
    <w:r>
      <w:rPr>
        <w:color w:val="7F7F7F"/>
      </w:rPr>
      <w:t>Página</w:t>
    </w:r>
    <w:r>
      <w:t xml:space="preserve"> </w:t>
    </w:r>
  </w:p>
  <w:p w14:paraId="7440DF0F" w14:textId="77777777" w:rsidR="00975E2E" w:rsidRDefault="00524696">
    <w:pPr>
      <w:pStyle w:val="LO-normal"/>
      <w:tabs>
        <w:tab w:val="center" w:pos="4536"/>
        <w:tab w:val="right" w:pos="9072"/>
      </w:tabs>
      <w:rPr>
        <w:i/>
        <w:color w:val="000000"/>
      </w:rPr>
    </w:pPr>
    <w:r>
      <w:rPr>
        <w:i/>
        <w:color w:val="000000"/>
      </w:rPr>
      <w:t>Directiva sobre el proceso de adquisición simplificado para la Covid-19, abril de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4551B" w14:textId="77777777" w:rsidR="009D66F3" w:rsidRDefault="009D66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FBAB9E" w14:textId="77777777" w:rsidR="00975E2E" w:rsidRDefault="00975E2E">
      <w:pPr>
        <w:pStyle w:val="LO-normal"/>
      </w:pPr>
    </w:p>
  </w:footnote>
  <w:footnote w:type="continuationSeparator" w:id="0">
    <w:p w14:paraId="37E9BC13" w14:textId="77777777" w:rsidR="00975E2E" w:rsidRDefault="00524696">
      <w:pPr>
        <w:pStyle w:val="LO-normal"/>
      </w:pPr>
      <w:r>
        <w:continuationSeparator/>
      </w:r>
    </w:p>
  </w:footnote>
  <w:footnote w:id="1">
    <w:p w14:paraId="7234FC07" w14:textId="77777777" w:rsidR="00975E2E" w:rsidRDefault="00524696">
      <w:pPr>
        <w:pStyle w:val="LO-normal"/>
      </w:pPr>
      <w:r>
        <w:rPr>
          <w:rStyle w:val="FootnoteCharacters"/>
        </w:rPr>
        <w:footnoteRef/>
      </w:r>
      <w:r>
        <w:rPr>
          <w:rFonts w:ascii="Arial" w:eastAsia="Arial" w:hAnsi="Arial" w:cs="Arial"/>
          <w:color w:val="000000"/>
          <w:sz w:val="18"/>
        </w:rPr>
        <w:t xml:space="preserve"> </w:t>
      </w:r>
      <w:r>
        <w:rPr>
          <w:rFonts w:ascii="Arial" w:eastAsia="Arial" w:hAnsi="Arial" w:cs="Arial"/>
          <w:color w:val="000000"/>
          <w:sz w:val="18"/>
        </w:rPr>
        <w:t xml:space="preserve">Sujeto a la delegación de </w:t>
      </w:r>
      <w:r>
        <w:rPr>
          <w:rFonts w:ascii="Arial" w:eastAsia="Arial" w:hAnsi="Arial" w:cs="Arial"/>
          <w:color w:val="000000"/>
          <w:sz w:val="18"/>
        </w:rPr>
        <w:t>autoridad otorgada por el director de LPSCM, se pueden aplicar 5 000 CHF</w:t>
      </w:r>
    </w:p>
  </w:footnote>
  <w:footnote w:id="2">
    <w:p w14:paraId="75B59811" w14:textId="77777777" w:rsidR="00975E2E" w:rsidRDefault="00524696">
      <w:pPr>
        <w:pStyle w:val="LO-normal"/>
        <w:tabs>
          <w:tab w:val="left" w:pos="0"/>
        </w:tabs>
        <w:jc w:val="both"/>
      </w:pPr>
      <w:r>
        <w:rPr>
          <w:rStyle w:val="FootnoteCharacters"/>
        </w:rPr>
        <w:footnoteRef/>
      </w:r>
      <w:r>
        <w:rPr>
          <w:rFonts w:ascii="Arial" w:eastAsia="Arial" w:hAnsi="Arial" w:cs="Arial"/>
          <w:color w:val="000000"/>
          <w:sz w:val="18"/>
        </w:rPr>
        <w:t xml:space="preserve"> Jefe de oficina se refiere al director de región y departamento, el jefe de grupo de países o el jefe de oficina de país, y es su responsabilidad garantizar que se observen los prin</w:t>
      </w:r>
      <w:r>
        <w:rPr>
          <w:rFonts w:ascii="Arial" w:eastAsia="Arial" w:hAnsi="Arial" w:cs="Arial"/>
          <w:color w:val="000000"/>
          <w:sz w:val="18"/>
        </w:rPr>
        <w:t>cipios rectores de adquisición.</w:t>
      </w:r>
    </w:p>
  </w:footnote>
  <w:footnote w:id="3">
    <w:p w14:paraId="5297CA5F" w14:textId="77777777" w:rsidR="00975E2E" w:rsidRDefault="00524696">
      <w:pPr>
        <w:pStyle w:val="LO-normal"/>
        <w:tabs>
          <w:tab w:val="left" w:pos="0"/>
        </w:tabs>
        <w:rPr>
          <w:rFonts w:ascii="Times New Roman" w:eastAsia="Times New Roman" w:hAnsi="Times New Roman" w:cs="Times New Roman"/>
          <w:color w:val="000000"/>
          <w:sz w:val="24"/>
        </w:rPr>
      </w:pPr>
      <w:r>
        <w:rPr>
          <w:rStyle w:val="FootnoteCharacters"/>
        </w:rPr>
        <w:footnoteRef/>
      </w:r>
      <w:r>
        <w:rPr>
          <w:rFonts w:ascii="Arial" w:eastAsia="Arial" w:hAnsi="Arial" w:cs="Arial"/>
          <w:color w:val="000000"/>
          <w:sz w:val="18"/>
        </w:rPr>
        <w:t xml:space="preserve"> Para las licitaciones realizadas por las autoridades de adquisiciones en la sede de Ginebra, se solicitan ofertas en pliego cerrado superiores a CHF 100 000.</w:t>
      </w:r>
    </w:p>
    <w:p w14:paraId="243B84A4" w14:textId="77777777" w:rsidR="00975E2E" w:rsidRDefault="00975E2E">
      <w:pPr>
        <w:pStyle w:val="LO-normal"/>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A9BDF" w14:textId="77777777" w:rsidR="009D66F3" w:rsidRDefault="009D66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A1AC3" w14:textId="77777777" w:rsidR="009D66F3" w:rsidRDefault="009D66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58B41" w14:textId="77777777" w:rsidR="009D66F3" w:rsidRDefault="009D66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420A3"/>
    <w:multiLevelType w:val="multilevel"/>
    <w:tmpl w:val="971694A4"/>
    <w:lvl w:ilvl="0">
      <w:start w:val="1"/>
      <w:numFmt w:val="bullet"/>
      <w:lvlText w:val="●"/>
      <w:lvlJc w:val="left"/>
      <w:pPr>
        <w:ind w:left="720" w:hanging="360"/>
      </w:pPr>
      <w:rPr>
        <w:rFonts w:ascii="Noto Sans Symbols" w:hAnsi="Noto Sans Symbols" w:cs="Noto Sans Symbols" w:hint="default"/>
        <w:sz w:val="20"/>
        <w:szCs w:val="20"/>
      </w:rPr>
    </w:lvl>
    <w:lvl w:ilvl="1">
      <w:start w:val="1"/>
      <w:numFmt w:val="bullet"/>
      <w:lvlText w:val="●"/>
      <w:lvlJc w:val="left"/>
      <w:pPr>
        <w:ind w:left="1440" w:hanging="360"/>
      </w:pPr>
      <w:rPr>
        <w:rFonts w:ascii="Noto Sans Symbols" w:hAnsi="Noto Sans Symbols" w:cs="Noto Sans Symbols" w:hint="default"/>
        <w:sz w:val="20"/>
        <w:szCs w:val="20"/>
      </w:rPr>
    </w:lvl>
    <w:lvl w:ilvl="2">
      <w:start w:val="1"/>
      <w:numFmt w:val="bullet"/>
      <w:lvlText w:val="●"/>
      <w:lvlJc w:val="left"/>
      <w:pPr>
        <w:ind w:left="2160" w:hanging="360"/>
      </w:pPr>
      <w:rPr>
        <w:rFonts w:ascii="Noto Sans Symbols" w:hAnsi="Noto Sans Symbols" w:cs="Noto Sans Symbols" w:hint="default"/>
        <w:sz w:val="20"/>
        <w:szCs w:val="20"/>
      </w:rPr>
    </w:lvl>
    <w:lvl w:ilvl="3">
      <w:start w:val="1"/>
      <w:numFmt w:val="bullet"/>
      <w:lvlText w:val="●"/>
      <w:lvlJc w:val="left"/>
      <w:pPr>
        <w:ind w:left="2880" w:hanging="360"/>
      </w:pPr>
      <w:rPr>
        <w:rFonts w:ascii="Noto Sans Symbols" w:hAnsi="Noto Sans Symbols" w:cs="Noto Sans Symbols" w:hint="default"/>
        <w:sz w:val="20"/>
        <w:szCs w:val="20"/>
      </w:rPr>
    </w:lvl>
    <w:lvl w:ilvl="4">
      <w:start w:val="1"/>
      <w:numFmt w:val="bullet"/>
      <w:lvlText w:val="●"/>
      <w:lvlJc w:val="left"/>
      <w:pPr>
        <w:ind w:left="3600" w:hanging="360"/>
      </w:pPr>
      <w:rPr>
        <w:rFonts w:ascii="Noto Sans Symbols" w:hAnsi="Noto Sans Symbols" w:cs="Noto Sans Symbols" w:hint="default"/>
        <w:sz w:val="20"/>
        <w:szCs w:val="20"/>
      </w:rPr>
    </w:lvl>
    <w:lvl w:ilvl="5">
      <w:start w:val="1"/>
      <w:numFmt w:val="bullet"/>
      <w:lvlText w:val="●"/>
      <w:lvlJc w:val="left"/>
      <w:pPr>
        <w:ind w:left="4320" w:hanging="360"/>
      </w:pPr>
      <w:rPr>
        <w:rFonts w:ascii="Noto Sans Symbols" w:hAnsi="Noto Sans Symbols" w:cs="Noto Sans Symbols" w:hint="default"/>
        <w:sz w:val="20"/>
        <w:szCs w:val="20"/>
      </w:rPr>
    </w:lvl>
    <w:lvl w:ilvl="6">
      <w:start w:val="1"/>
      <w:numFmt w:val="bullet"/>
      <w:lvlText w:val="●"/>
      <w:lvlJc w:val="left"/>
      <w:pPr>
        <w:ind w:left="5040" w:hanging="360"/>
      </w:pPr>
      <w:rPr>
        <w:rFonts w:ascii="Noto Sans Symbols" w:hAnsi="Noto Sans Symbols" w:cs="Noto Sans Symbols" w:hint="default"/>
        <w:sz w:val="20"/>
        <w:szCs w:val="20"/>
      </w:rPr>
    </w:lvl>
    <w:lvl w:ilvl="7">
      <w:start w:val="1"/>
      <w:numFmt w:val="bullet"/>
      <w:lvlText w:val="●"/>
      <w:lvlJc w:val="left"/>
      <w:pPr>
        <w:ind w:left="5760" w:hanging="360"/>
      </w:pPr>
      <w:rPr>
        <w:rFonts w:ascii="Noto Sans Symbols" w:hAnsi="Noto Sans Symbols" w:cs="Noto Sans Symbols" w:hint="default"/>
        <w:sz w:val="20"/>
        <w:szCs w:val="20"/>
      </w:rPr>
    </w:lvl>
    <w:lvl w:ilvl="8">
      <w:start w:val="1"/>
      <w:numFmt w:val="bullet"/>
      <w:lvlText w:val="●"/>
      <w:lvlJc w:val="left"/>
      <w:pPr>
        <w:ind w:left="6480" w:hanging="360"/>
      </w:pPr>
      <w:rPr>
        <w:rFonts w:ascii="Noto Sans Symbols" w:hAnsi="Noto Sans Symbols" w:cs="Noto Sans Symbols" w:hint="default"/>
        <w:sz w:val="20"/>
        <w:szCs w:val="20"/>
      </w:rPr>
    </w:lvl>
  </w:abstractNum>
  <w:abstractNum w:abstractNumId="1" w15:restartNumberingAfterBreak="0">
    <w:nsid w:val="1C174AB9"/>
    <w:multiLevelType w:val="multilevel"/>
    <w:tmpl w:val="A8F8B80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31A37B45"/>
    <w:multiLevelType w:val="multilevel"/>
    <w:tmpl w:val="CC72C14A"/>
    <w:lvl w:ilvl="0">
      <w:start w:val="1"/>
      <w:numFmt w:val="bullet"/>
      <w:lvlText w:val="●"/>
      <w:lvlJc w:val="left"/>
      <w:pPr>
        <w:ind w:left="720" w:hanging="360"/>
      </w:pPr>
      <w:rPr>
        <w:rFonts w:ascii="Noto Sans Symbols" w:hAnsi="Noto Sans Symbols" w:cs="Noto Sans Symbols" w:hint="default"/>
        <w:b w:val="0"/>
        <w:sz w:val="24"/>
      </w:rPr>
    </w:lvl>
    <w:lvl w:ilvl="1">
      <w:start w:val="1"/>
      <w:numFmt w:val="bullet"/>
      <w:lvlText w:val="o"/>
      <w:lvlJc w:val="left"/>
      <w:pPr>
        <w:ind w:left="1440" w:hanging="360"/>
      </w:pPr>
      <w:rPr>
        <w:rFonts w:ascii="OpenSymbol" w:hAnsi="OpenSymbol" w:cs="OpenSymbol"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OpenSymbol" w:hAnsi="OpenSymbol" w:cs="OpenSymbol"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OpenSymbol" w:hAnsi="OpenSymbol" w:cs="OpenSymbol"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3" w15:restartNumberingAfterBreak="0">
    <w:nsid w:val="5BC01481"/>
    <w:multiLevelType w:val="multilevel"/>
    <w:tmpl w:val="A2342F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4" w15:restartNumberingAfterBreak="0">
    <w:nsid w:val="6E99316C"/>
    <w:multiLevelType w:val="multilevel"/>
    <w:tmpl w:val="6B1C6C84"/>
    <w:lvl w:ilvl="0">
      <w:start w:val="1"/>
      <w:numFmt w:val="bullet"/>
      <w:lvlText w:val="●"/>
      <w:lvlJc w:val="left"/>
      <w:pPr>
        <w:ind w:left="720" w:hanging="360"/>
      </w:pPr>
      <w:rPr>
        <w:rFonts w:ascii="Noto Sans Symbols" w:hAnsi="Noto Sans Symbols" w:cs="Noto Sans Symbols" w:hint="default"/>
        <w:b w:val="0"/>
        <w:sz w:val="22"/>
        <w:szCs w:val="20"/>
      </w:rPr>
    </w:lvl>
    <w:lvl w:ilvl="1">
      <w:start w:val="1"/>
      <w:numFmt w:val="bullet"/>
      <w:lvlText w:val="●"/>
      <w:lvlJc w:val="left"/>
      <w:pPr>
        <w:ind w:left="1440" w:hanging="360"/>
      </w:pPr>
      <w:rPr>
        <w:rFonts w:ascii="Noto Sans Symbols" w:hAnsi="Noto Sans Symbols" w:cs="Noto Sans Symbols" w:hint="default"/>
        <w:sz w:val="20"/>
        <w:szCs w:val="20"/>
      </w:rPr>
    </w:lvl>
    <w:lvl w:ilvl="2">
      <w:start w:val="1"/>
      <w:numFmt w:val="bullet"/>
      <w:lvlText w:val="●"/>
      <w:lvlJc w:val="left"/>
      <w:pPr>
        <w:ind w:left="2160" w:hanging="360"/>
      </w:pPr>
      <w:rPr>
        <w:rFonts w:ascii="Noto Sans Symbols" w:hAnsi="Noto Sans Symbols" w:cs="Noto Sans Symbols" w:hint="default"/>
        <w:sz w:val="20"/>
        <w:szCs w:val="20"/>
      </w:rPr>
    </w:lvl>
    <w:lvl w:ilvl="3">
      <w:start w:val="1"/>
      <w:numFmt w:val="bullet"/>
      <w:lvlText w:val="●"/>
      <w:lvlJc w:val="left"/>
      <w:pPr>
        <w:ind w:left="2880" w:hanging="360"/>
      </w:pPr>
      <w:rPr>
        <w:rFonts w:ascii="Noto Sans Symbols" w:hAnsi="Noto Sans Symbols" w:cs="Noto Sans Symbols" w:hint="default"/>
        <w:sz w:val="20"/>
        <w:szCs w:val="20"/>
      </w:rPr>
    </w:lvl>
    <w:lvl w:ilvl="4">
      <w:start w:val="1"/>
      <w:numFmt w:val="bullet"/>
      <w:lvlText w:val="●"/>
      <w:lvlJc w:val="left"/>
      <w:pPr>
        <w:ind w:left="3600" w:hanging="360"/>
      </w:pPr>
      <w:rPr>
        <w:rFonts w:ascii="Noto Sans Symbols" w:hAnsi="Noto Sans Symbols" w:cs="Noto Sans Symbols" w:hint="default"/>
        <w:sz w:val="20"/>
        <w:szCs w:val="20"/>
      </w:rPr>
    </w:lvl>
    <w:lvl w:ilvl="5">
      <w:start w:val="1"/>
      <w:numFmt w:val="bullet"/>
      <w:lvlText w:val="●"/>
      <w:lvlJc w:val="left"/>
      <w:pPr>
        <w:ind w:left="4320" w:hanging="360"/>
      </w:pPr>
      <w:rPr>
        <w:rFonts w:ascii="Noto Sans Symbols" w:hAnsi="Noto Sans Symbols" w:cs="Noto Sans Symbols" w:hint="default"/>
        <w:sz w:val="20"/>
        <w:szCs w:val="20"/>
      </w:rPr>
    </w:lvl>
    <w:lvl w:ilvl="6">
      <w:start w:val="1"/>
      <w:numFmt w:val="bullet"/>
      <w:lvlText w:val="●"/>
      <w:lvlJc w:val="left"/>
      <w:pPr>
        <w:ind w:left="5040" w:hanging="360"/>
      </w:pPr>
      <w:rPr>
        <w:rFonts w:ascii="Noto Sans Symbols" w:hAnsi="Noto Sans Symbols" w:cs="Noto Sans Symbols" w:hint="default"/>
        <w:sz w:val="20"/>
        <w:szCs w:val="20"/>
      </w:rPr>
    </w:lvl>
    <w:lvl w:ilvl="7">
      <w:start w:val="1"/>
      <w:numFmt w:val="bullet"/>
      <w:lvlText w:val="●"/>
      <w:lvlJc w:val="left"/>
      <w:pPr>
        <w:ind w:left="5760" w:hanging="360"/>
      </w:pPr>
      <w:rPr>
        <w:rFonts w:ascii="Noto Sans Symbols" w:hAnsi="Noto Sans Symbols" w:cs="Noto Sans Symbols" w:hint="default"/>
        <w:sz w:val="20"/>
        <w:szCs w:val="20"/>
      </w:rPr>
    </w:lvl>
    <w:lvl w:ilvl="8">
      <w:start w:val="1"/>
      <w:numFmt w:val="bullet"/>
      <w:lvlText w:val="●"/>
      <w:lvlJc w:val="left"/>
      <w:pPr>
        <w:ind w:left="6480" w:hanging="360"/>
      </w:pPr>
      <w:rPr>
        <w:rFonts w:ascii="Noto Sans Symbols" w:hAnsi="Noto Sans Symbols" w:cs="Noto Sans Symbols" w:hint="default"/>
        <w:sz w:val="20"/>
        <w:szCs w:val="20"/>
      </w:rPr>
    </w:lvl>
  </w:abstractNum>
  <w:abstractNum w:abstractNumId="5" w15:restartNumberingAfterBreak="0">
    <w:nsid w:val="77BA5F4D"/>
    <w:multiLevelType w:val="multilevel"/>
    <w:tmpl w:val="9F282E5E"/>
    <w:lvl w:ilvl="0">
      <w:start w:val="1"/>
      <w:numFmt w:val="bullet"/>
      <w:lvlText w:val="●"/>
      <w:lvlJc w:val="left"/>
      <w:pPr>
        <w:ind w:left="720" w:hanging="360"/>
      </w:pPr>
      <w:rPr>
        <w:rFonts w:ascii="Noto Sans Symbols" w:hAnsi="Noto Sans Symbols" w:cs="Noto Sans Symbols" w:hint="default"/>
        <w:b w:val="0"/>
        <w:sz w:val="22"/>
        <w:szCs w:val="20"/>
      </w:rPr>
    </w:lvl>
    <w:lvl w:ilvl="1">
      <w:start w:val="1"/>
      <w:numFmt w:val="bullet"/>
      <w:lvlText w:val="●"/>
      <w:lvlJc w:val="left"/>
      <w:pPr>
        <w:ind w:left="1440" w:hanging="360"/>
      </w:pPr>
      <w:rPr>
        <w:rFonts w:ascii="Noto Sans Symbols" w:hAnsi="Noto Sans Symbols" w:cs="Noto Sans Symbols" w:hint="default"/>
        <w:sz w:val="20"/>
        <w:szCs w:val="20"/>
      </w:rPr>
    </w:lvl>
    <w:lvl w:ilvl="2">
      <w:start w:val="1"/>
      <w:numFmt w:val="bullet"/>
      <w:lvlText w:val="●"/>
      <w:lvlJc w:val="left"/>
      <w:pPr>
        <w:ind w:left="2160" w:hanging="360"/>
      </w:pPr>
      <w:rPr>
        <w:rFonts w:ascii="Noto Sans Symbols" w:hAnsi="Noto Sans Symbols" w:cs="Noto Sans Symbols" w:hint="default"/>
        <w:sz w:val="20"/>
        <w:szCs w:val="20"/>
      </w:rPr>
    </w:lvl>
    <w:lvl w:ilvl="3">
      <w:start w:val="1"/>
      <w:numFmt w:val="bullet"/>
      <w:lvlText w:val="●"/>
      <w:lvlJc w:val="left"/>
      <w:pPr>
        <w:ind w:left="2880" w:hanging="360"/>
      </w:pPr>
      <w:rPr>
        <w:rFonts w:ascii="Noto Sans Symbols" w:hAnsi="Noto Sans Symbols" w:cs="Noto Sans Symbols" w:hint="default"/>
        <w:sz w:val="20"/>
        <w:szCs w:val="20"/>
      </w:rPr>
    </w:lvl>
    <w:lvl w:ilvl="4">
      <w:start w:val="1"/>
      <w:numFmt w:val="bullet"/>
      <w:lvlText w:val="●"/>
      <w:lvlJc w:val="left"/>
      <w:pPr>
        <w:ind w:left="3600" w:hanging="360"/>
      </w:pPr>
      <w:rPr>
        <w:rFonts w:ascii="Noto Sans Symbols" w:hAnsi="Noto Sans Symbols" w:cs="Noto Sans Symbols" w:hint="default"/>
        <w:sz w:val="20"/>
        <w:szCs w:val="20"/>
      </w:rPr>
    </w:lvl>
    <w:lvl w:ilvl="5">
      <w:start w:val="1"/>
      <w:numFmt w:val="bullet"/>
      <w:lvlText w:val="●"/>
      <w:lvlJc w:val="left"/>
      <w:pPr>
        <w:ind w:left="4320" w:hanging="360"/>
      </w:pPr>
      <w:rPr>
        <w:rFonts w:ascii="Noto Sans Symbols" w:hAnsi="Noto Sans Symbols" w:cs="Noto Sans Symbols" w:hint="default"/>
        <w:sz w:val="20"/>
        <w:szCs w:val="20"/>
      </w:rPr>
    </w:lvl>
    <w:lvl w:ilvl="6">
      <w:start w:val="1"/>
      <w:numFmt w:val="bullet"/>
      <w:lvlText w:val="●"/>
      <w:lvlJc w:val="left"/>
      <w:pPr>
        <w:ind w:left="5040" w:hanging="360"/>
      </w:pPr>
      <w:rPr>
        <w:rFonts w:ascii="Noto Sans Symbols" w:hAnsi="Noto Sans Symbols" w:cs="Noto Sans Symbols" w:hint="default"/>
        <w:sz w:val="20"/>
        <w:szCs w:val="20"/>
      </w:rPr>
    </w:lvl>
    <w:lvl w:ilvl="7">
      <w:start w:val="1"/>
      <w:numFmt w:val="bullet"/>
      <w:lvlText w:val="●"/>
      <w:lvlJc w:val="left"/>
      <w:pPr>
        <w:ind w:left="5760" w:hanging="360"/>
      </w:pPr>
      <w:rPr>
        <w:rFonts w:ascii="Noto Sans Symbols" w:hAnsi="Noto Sans Symbols" w:cs="Noto Sans Symbols" w:hint="default"/>
        <w:sz w:val="20"/>
        <w:szCs w:val="20"/>
      </w:rPr>
    </w:lvl>
    <w:lvl w:ilvl="8">
      <w:start w:val="1"/>
      <w:numFmt w:val="bullet"/>
      <w:lvlText w:val="●"/>
      <w:lvlJc w:val="left"/>
      <w:pPr>
        <w:ind w:left="6480" w:hanging="360"/>
      </w:pPr>
      <w:rPr>
        <w:rFonts w:ascii="Noto Sans Symbols" w:hAnsi="Noto Sans Symbols" w:cs="Noto Sans Symbols" w:hint="default"/>
        <w:sz w:val="20"/>
        <w:szCs w:val="20"/>
      </w:r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E2E"/>
    <w:rsid w:val="00524696"/>
    <w:rsid w:val="00975E2E"/>
    <w:rsid w:val="009D66F3"/>
    <w:rsid w:val="00E4581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78025E"/>
  <w15:docId w15:val="{CFFD41C8-4CA5-4DB6-AD97-CB0866B20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Cs w:val="22"/>
        <w:lang w:val="es-MX"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rPr>
  </w:style>
  <w:style w:type="paragraph" w:styleId="Heading1">
    <w:name w:val="heading 1"/>
    <w:next w:val="LO-normal"/>
    <w:uiPriority w:val="9"/>
    <w:qFormat/>
    <w:pPr>
      <w:keepNext/>
      <w:shd w:val="clear" w:color="auto" w:fill="CCCCCC"/>
      <w:spacing w:before="240" w:after="60"/>
      <w:outlineLvl w:val="0"/>
    </w:pPr>
    <w:rPr>
      <w:rFonts w:ascii="Arial" w:eastAsia="Arial" w:hAnsi="Arial" w:cs="Arial"/>
      <w:b/>
      <w:sz w:val="24"/>
      <w:szCs w:val="24"/>
    </w:rPr>
  </w:style>
  <w:style w:type="paragraph" w:styleId="Heading2">
    <w:name w:val="heading 2"/>
    <w:next w:val="LO-normal"/>
    <w:uiPriority w:val="9"/>
    <w:unhideWhenUsed/>
    <w:qFormat/>
    <w:pPr>
      <w:keepNext/>
      <w:keepLines/>
      <w:spacing w:before="40"/>
      <w:ind w:left="454" w:hanging="454"/>
      <w:outlineLvl w:val="1"/>
    </w:pPr>
    <w:rPr>
      <w:rFonts w:ascii="Arial" w:eastAsia="Arial" w:hAnsi="Arial" w:cs="Arial"/>
      <w:sz w:val="24"/>
      <w:szCs w:val="24"/>
    </w:rPr>
  </w:style>
  <w:style w:type="paragraph" w:styleId="Heading3">
    <w:name w:val="heading 3"/>
    <w:next w:val="LO-normal"/>
    <w:uiPriority w:val="9"/>
    <w:unhideWhenUsed/>
    <w:qFormat/>
    <w:pPr>
      <w:keepNext/>
      <w:keepLines/>
      <w:spacing w:before="40" w:after="40"/>
      <w:ind w:left="964" w:hanging="680"/>
      <w:outlineLvl w:val="2"/>
    </w:pPr>
    <w:rPr>
      <w:rFonts w:ascii="Arial" w:eastAsia="Arial" w:hAnsi="Arial" w:cs="Arial"/>
      <w:color w:val="000000"/>
      <w:sz w:val="24"/>
      <w:szCs w:val="24"/>
    </w:rPr>
  </w:style>
  <w:style w:type="paragraph" w:styleId="Heading4">
    <w:name w:val="heading 4"/>
    <w:next w:val="LO-normal"/>
    <w:uiPriority w:val="9"/>
    <w:unhideWhenUsed/>
    <w:qFormat/>
    <w:pPr>
      <w:keepNext/>
      <w:tabs>
        <w:tab w:val="left" w:pos="0"/>
      </w:tabs>
      <w:spacing w:before="60" w:after="60"/>
      <w:ind w:left="1361" w:hanging="1361"/>
      <w:outlineLvl w:val="3"/>
    </w:pPr>
    <w:rPr>
      <w:rFonts w:ascii="Arial" w:eastAsia="Arial" w:hAnsi="Arial" w:cs="Arial"/>
      <w:sz w:val="24"/>
      <w:szCs w:val="24"/>
    </w:rPr>
  </w:style>
  <w:style w:type="paragraph" w:styleId="Heading5">
    <w:name w:val="heading 5"/>
    <w:next w:val="LO-normal"/>
    <w:uiPriority w:val="9"/>
    <w:semiHidden/>
    <w:unhideWhenUsed/>
    <w:qFormat/>
    <w:pPr>
      <w:keepNext/>
      <w:keepLines/>
      <w:spacing w:before="40"/>
      <w:outlineLvl w:val="4"/>
    </w:pPr>
    <w:rPr>
      <w:color w:val="2F5496"/>
      <w:sz w:val="22"/>
    </w:rPr>
  </w:style>
  <w:style w:type="paragraph" w:styleId="Heading6">
    <w:name w:val="heading 6"/>
    <w:next w:val="LO-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lang/>
    </w:rPr>
  </w:style>
  <w:style w:type="character" w:customStyle="1" w:styleId="VisitedInternetLink">
    <w:name w:val="Visited Internet Link"/>
    <w:rPr>
      <w:color w:val="800000"/>
      <w:u w:val="single"/>
      <w:lang/>
    </w:rPr>
  </w:style>
  <w:style w:type="character" w:customStyle="1" w:styleId="FootnoteAnchor">
    <w:name w:val="Footnote Anchor"/>
    <w:rPr>
      <w:vertAlign w:val="superscript"/>
    </w:rPr>
  </w:style>
  <w:style w:type="character" w:customStyle="1" w:styleId="FootnoteCharacters">
    <w:name w:val="Footnote Characters"/>
    <w:qFormat/>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LO-normal">
    <w:name w:val="LO-normal"/>
    <w:qFormat/>
    <w:rPr>
      <w:sz w:val="22"/>
    </w:rPr>
  </w:style>
  <w:style w:type="paragraph" w:styleId="Title">
    <w:name w:val="Title"/>
    <w:basedOn w:val="LO-normal"/>
    <w:next w:val="LO-normal"/>
    <w:uiPriority w:val="10"/>
    <w:qFormat/>
    <w:pPr>
      <w:keepNext/>
      <w:keepLines/>
      <w:spacing w:before="480" w:after="120"/>
    </w:pPr>
    <w:rPr>
      <w:b/>
      <w:sz w:val="72"/>
      <w:szCs w:val="72"/>
    </w:rPr>
  </w:style>
  <w:style w:type="paragraph" w:styleId="Subtitle">
    <w:name w:val="Subtitle"/>
    <w:basedOn w:val="LO-normal"/>
    <w:next w:val="LO-normal"/>
    <w:uiPriority w:val="11"/>
    <w:qFormat/>
    <w:pPr>
      <w:keepNext/>
      <w:keepLines/>
      <w:spacing w:before="360" w:after="80"/>
    </w:pPr>
    <w:rPr>
      <w:rFonts w:ascii="Georgia" w:eastAsia="Georgia" w:hAnsi="Georgia" w:cs="Georgia"/>
      <w:i/>
      <w:color w:val="666666"/>
      <w:sz w:val="48"/>
      <w:szCs w:val="48"/>
    </w:rPr>
  </w:style>
  <w:style w:type="paragraph" w:customStyle="1" w:styleId="FrameContents">
    <w:name w:val="Frame Contents"/>
    <w:basedOn w:val="Normal"/>
    <w:qFormat/>
  </w:style>
  <w:style w:type="paragraph" w:styleId="FootnoteText">
    <w:name w:val="footnote text"/>
    <w:basedOn w:val="Normal"/>
  </w:style>
  <w:style w:type="paragraph" w:customStyle="1" w:styleId="HeaderandFooter">
    <w:name w:val="Header and Footer"/>
    <w:basedOn w:val="Normal"/>
    <w:qFormat/>
  </w:style>
  <w:style w:type="paragraph" w:styleId="Footer">
    <w:name w:val="footer"/>
    <w:basedOn w:val="HeaderandFooter"/>
  </w:style>
  <w:style w:type="paragraph" w:styleId="Header">
    <w:name w:val="header"/>
    <w:basedOn w:val="Normal"/>
    <w:link w:val="HeaderChar"/>
    <w:uiPriority w:val="99"/>
    <w:unhideWhenUsed/>
    <w:rsid w:val="009D66F3"/>
    <w:pPr>
      <w:tabs>
        <w:tab w:val="center" w:pos="4513"/>
        <w:tab w:val="right" w:pos="9026"/>
      </w:tabs>
    </w:pPr>
    <w:rPr>
      <w:rFonts w:cs="Mangal"/>
      <w:szCs w:val="20"/>
    </w:rPr>
  </w:style>
  <w:style w:type="character" w:customStyle="1" w:styleId="HeaderChar">
    <w:name w:val="Header Char"/>
    <w:basedOn w:val="DefaultParagraphFont"/>
    <w:link w:val="Header"/>
    <w:uiPriority w:val="99"/>
    <w:rsid w:val="009D66F3"/>
    <w:rPr>
      <w:rFonts w:cs="Mang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mailto:Mauricio.BUSTAMANTE@ifrc.org" TargetMode="External"/><Relationship Id="rId26" Type="http://schemas.openxmlformats.org/officeDocument/2006/relationships/hyperlink" Target="mailto:goran.boljanovic@ifrc.org" TargetMode="External"/><Relationship Id="rId3" Type="http://schemas.openxmlformats.org/officeDocument/2006/relationships/customXml" Target="../customXml/item3.xml"/><Relationship Id="rId21" Type="http://schemas.openxmlformats.org/officeDocument/2006/relationships/hyperlink" Target="mailto:dharmin.thacker@ifrc.org" TargetMode="External"/><Relationship Id="rId34"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5.png"/><Relationship Id="rId25" Type="http://schemas.openxmlformats.org/officeDocument/2006/relationships/hyperlink" Target="mailto:melinda.vecseineorosz@ifrc.org"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mailto:beelin.wong@ifrc.org" TargetMode="External"/><Relationship Id="rId29" Type="http://schemas.openxmlformats.org/officeDocument/2006/relationships/hyperlink" Target="mailto:SupplyCC.GVA@ifrc.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mailto:Armen.petrosyan@ifrc.org"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THIERRY/Procedures%20processes%202018/Final%20Doca%20for%20signoff/Final%20docs%20sent%20to%20Jagan/Summary%20of%20Procurement%20Procedures%20Covid%2019.docx" TargetMode="External"/><Relationship Id="rId23" Type="http://schemas.openxmlformats.org/officeDocument/2006/relationships/hyperlink" Target="mailto:Thierry.balloy@ifrc.org" TargetMode="External"/><Relationship Id="rId28" Type="http://schemas.openxmlformats.org/officeDocument/2006/relationships/hyperlink" Target="mailto:Medicallog.GVA@ifrc.org" TargetMode="External"/><Relationship Id="rId36"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mailto:alka.kapoorsharma@ifrc.org" TargetMode="External"/><Relationship Id="rId31"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THIERRY/Procedures%20processes%202018/Procurement%20Directives%20240.pdf" TargetMode="External"/><Relationship Id="rId22" Type="http://schemas.openxmlformats.org/officeDocument/2006/relationships/hyperlink" Target="mailto:rishi.ramrakha@ifrc.org" TargetMode="External"/><Relationship Id="rId27" Type="http://schemas.openxmlformats.org/officeDocument/2006/relationships/hyperlink" Target="mailto:Ilir.CAUSHAJ@ifrc.org"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C4FFF71BD19B4BA06704F7998754FD" ma:contentTypeVersion="17" ma:contentTypeDescription="Create a new document." ma:contentTypeScope="" ma:versionID="a4f10a7559b031664bd79102d2c0ae10">
  <xsd:schema xmlns:xsd="http://www.w3.org/2001/XMLSchema" xmlns:xs="http://www.w3.org/2001/XMLSchema" xmlns:p="http://schemas.microsoft.com/office/2006/metadata/properties" xmlns:ns1="http://schemas.microsoft.com/sharepoint/v3" xmlns:ns2="e7026baa-a1f3-43fe-b8fa-22e7a939b2b9" xmlns:ns3="76619b82-421a-4f4c-b354-ba912c294c20" targetNamespace="http://schemas.microsoft.com/office/2006/metadata/properties" ma:root="true" ma:fieldsID="107ed7dee349a5808ed6e74888847df2" ns1:_="" ns2:_="" ns3:_="">
    <xsd:import namespace="http://schemas.microsoft.com/sharepoint/v3"/>
    <xsd:import namespace="e7026baa-a1f3-43fe-b8fa-22e7a939b2b9"/>
    <xsd:import namespace="76619b82-421a-4f4c-b354-ba912c294c2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Size" minOccurs="0"/>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026baa-a1f3-43fe-b8fa-22e7a939b2b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6619b82-421a-4f4c-b354-ba912c294c20" elementFormDefault="qualified">
    <xsd:import namespace="http://schemas.microsoft.com/office/2006/documentManagement/types"/>
    <xsd:import namespace="http://schemas.microsoft.com/office/infopath/2007/PartnerControls"/>
    <xsd:element name="Size" ma:index="12" nillable="true" ma:displayName="Size" ma:internalName="Size">
      <xsd:simpleType>
        <xsd:restriction base="dms:Text"/>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ize xmlns="76619b82-421a-4f4c-b354-ba912c294c20" xsi:nil="true"/>
  </documentManagement>
</p:properties>
</file>

<file path=customXml/itemProps1.xml><?xml version="1.0" encoding="utf-8"?>
<ds:datastoreItem xmlns:ds="http://schemas.openxmlformats.org/officeDocument/2006/customXml" ds:itemID="{3AD24C5F-A466-4CC0-9D76-3CA71669B117}"/>
</file>

<file path=customXml/itemProps2.xml><?xml version="1.0" encoding="utf-8"?>
<ds:datastoreItem xmlns:ds="http://schemas.openxmlformats.org/officeDocument/2006/customXml" ds:itemID="{8A642F8D-A5DA-4E42-9775-48820833B62E}">
  <ds:schemaRefs>
    <ds:schemaRef ds:uri="http://schemas.microsoft.com/sharepoint/v3/contenttype/forms"/>
  </ds:schemaRefs>
</ds:datastoreItem>
</file>

<file path=customXml/itemProps3.xml><?xml version="1.0" encoding="utf-8"?>
<ds:datastoreItem xmlns:ds="http://schemas.openxmlformats.org/officeDocument/2006/customXml" ds:itemID="{247EE12A-6CA8-42CA-8A36-21F98F1E249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2986</Words>
  <Characters>17025</Characters>
  <Application>Microsoft Office Word</Application>
  <DocSecurity>0</DocSecurity>
  <Lines>141</Lines>
  <Paragraphs>39</Paragraphs>
  <ScaleCrop>false</ScaleCrop>
  <Company/>
  <LinksUpToDate>false</LinksUpToDate>
  <CharactersWithSpaces>19972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 Pigny</dc:creator>
  <dc:description/>
  <cp:lastModifiedBy>Celine Pigny</cp:lastModifiedBy>
  <cp:revision>4</cp:revision>
  <dcterms:created xsi:type="dcterms:W3CDTF">2020-06-12T06:44:00Z</dcterms:created>
  <dcterms:modified xsi:type="dcterms:W3CDTF">2020-06-12T06:48:00Z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0x010100CCC4FFF71BD19B4BA06704F7998754FD</vt:lpwstr>
  </property>
</Properties>
</file>